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851" w:type="dxa"/>
        <w:tblLayout w:type="fixed"/>
        <w:tblLook w:val="0000" w:firstRow="0" w:lastRow="0" w:firstColumn="0" w:lastColumn="0" w:noHBand="0" w:noVBand="0"/>
      </w:tblPr>
      <w:tblGrid>
        <w:gridCol w:w="4820"/>
        <w:gridCol w:w="5740"/>
      </w:tblGrid>
      <w:tr w:rsidR="00665525" w:rsidRPr="00665525" w14:paraId="07128C8D" w14:textId="77777777" w:rsidTr="0015467A">
        <w:tc>
          <w:tcPr>
            <w:tcW w:w="4820" w:type="dxa"/>
          </w:tcPr>
          <w:p w14:paraId="1BA24363" w14:textId="77777777" w:rsidR="00665525" w:rsidRPr="00665525" w:rsidRDefault="00665525" w:rsidP="00665525">
            <w:pPr>
              <w:spacing w:before="0" w:after="0" w:line="240" w:lineRule="auto"/>
              <w:ind w:firstLine="0"/>
              <w:jc w:val="center"/>
              <w:rPr>
                <w:rFonts w:eastAsia="Times New Roman"/>
                <w:b/>
                <w:bCs/>
                <w:sz w:val="26"/>
                <w:szCs w:val="26"/>
                <w:lang w:val="pt-BR"/>
              </w:rPr>
            </w:pPr>
            <w:bookmarkStart w:id="0" w:name="_Toc75262589"/>
            <w:r w:rsidRPr="00665525">
              <w:rPr>
                <w:rFonts w:eastAsia="Times New Roman"/>
                <w:b/>
                <w:bCs/>
                <w:sz w:val="26"/>
                <w:szCs w:val="26"/>
                <w:lang w:val="pt-BR"/>
              </w:rPr>
              <w:t>BỘ THÔNG TIN VÀ TRUYỀN THÔNG</w:t>
            </w:r>
          </w:p>
        </w:tc>
        <w:tc>
          <w:tcPr>
            <w:tcW w:w="5740" w:type="dxa"/>
          </w:tcPr>
          <w:p w14:paraId="3AFFEC21" w14:textId="77777777" w:rsidR="00665525" w:rsidRPr="00665525" w:rsidRDefault="00665525" w:rsidP="00665525">
            <w:pPr>
              <w:keepNext/>
              <w:spacing w:before="0" w:after="0" w:line="240" w:lineRule="auto"/>
              <w:ind w:firstLine="0"/>
              <w:jc w:val="center"/>
              <w:outlineLvl w:val="3"/>
              <w:rPr>
                <w:rFonts w:eastAsia="Times New Roman"/>
                <w:bCs/>
                <w:sz w:val="26"/>
                <w:szCs w:val="26"/>
                <w:lang w:val="pt-BR"/>
              </w:rPr>
            </w:pPr>
            <w:r w:rsidRPr="00665525">
              <w:rPr>
                <w:rFonts w:eastAsia="Times New Roman"/>
                <w:b/>
                <w:sz w:val="26"/>
                <w:szCs w:val="26"/>
                <w:lang w:val="pt-BR"/>
              </w:rPr>
              <w:t>CỘNG HÒA XÃ HỘI CHỦ NGHĨA VIỆT NAM</w:t>
            </w:r>
          </w:p>
        </w:tc>
      </w:tr>
      <w:tr w:rsidR="00665525" w:rsidRPr="00665525" w14:paraId="272B3F84" w14:textId="77777777" w:rsidTr="0015467A">
        <w:tc>
          <w:tcPr>
            <w:tcW w:w="4820" w:type="dxa"/>
          </w:tcPr>
          <w:p w14:paraId="6DA6B98A" w14:textId="77777777" w:rsidR="00665525" w:rsidRPr="00665525" w:rsidRDefault="00665525" w:rsidP="00665525">
            <w:pPr>
              <w:keepNext/>
              <w:spacing w:before="0" w:after="0" w:line="240" w:lineRule="auto"/>
              <w:ind w:firstLine="0"/>
              <w:jc w:val="center"/>
              <w:outlineLvl w:val="2"/>
              <w:rPr>
                <w:rFonts w:eastAsia="Times New Roman"/>
                <w:b/>
                <w:lang w:val="pt-BR"/>
              </w:rPr>
            </w:pPr>
            <w:r w:rsidRPr="00665525">
              <w:rPr>
                <w:rFonts w:eastAsia="Times New Roman"/>
                <w:noProof/>
              </w:rPr>
              <mc:AlternateContent>
                <mc:Choice Requires="wps">
                  <w:drawing>
                    <wp:anchor distT="4294967295" distB="4294967295" distL="114300" distR="114300" simplePos="0" relativeHeight="251667968" behindDoc="0" locked="0" layoutInCell="1" allowOverlap="1" wp14:anchorId="7D3B4BF3" wp14:editId="74CD251E">
                      <wp:simplePos x="0" y="0"/>
                      <wp:positionH relativeFrom="column">
                        <wp:posOffset>885190</wp:posOffset>
                      </wp:positionH>
                      <wp:positionV relativeFrom="paragraph">
                        <wp:posOffset>36195</wp:posOffset>
                      </wp:positionV>
                      <wp:extent cx="113538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892C9D" id="Straight Connector 9"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2.85pt" to="159.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i6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"/>
                  </w:pict>
                </mc:Fallback>
              </mc:AlternateContent>
            </w:r>
          </w:p>
        </w:tc>
        <w:tc>
          <w:tcPr>
            <w:tcW w:w="5740" w:type="dxa"/>
          </w:tcPr>
          <w:p w14:paraId="3028C571" w14:textId="77777777" w:rsidR="00665525" w:rsidRPr="00665525" w:rsidRDefault="00665525" w:rsidP="00665525">
            <w:pPr>
              <w:spacing w:before="0" w:after="0" w:line="240" w:lineRule="auto"/>
              <w:ind w:firstLine="0"/>
              <w:jc w:val="center"/>
              <w:rPr>
                <w:rFonts w:eastAsia="Times New Roman"/>
                <w:b/>
                <w:lang w:val="pt-BR"/>
              </w:rPr>
            </w:pPr>
            <w:r w:rsidRPr="00665525">
              <w:rPr>
                <w:rFonts w:eastAsia="Times New Roman"/>
                <w:b/>
                <w:lang w:val="pt-BR"/>
              </w:rPr>
              <w:t>Độc lập - Tự do - Hạnh phúc</w:t>
            </w:r>
          </w:p>
        </w:tc>
      </w:tr>
      <w:tr w:rsidR="00665525" w:rsidRPr="00665525" w14:paraId="363DD5AE" w14:textId="77777777" w:rsidTr="0015467A">
        <w:tc>
          <w:tcPr>
            <w:tcW w:w="4820" w:type="dxa"/>
          </w:tcPr>
          <w:p w14:paraId="41307F06" w14:textId="77777777" w:rsidR="00665525" w:rsidRPr="00665525" w:rsidRDefault="00665525" w:rsidP="00665525">
            <w:pPr>
              <w:spacing w:before="240" w:after="0" w:line="240" w:lineRule="auto"/>
              <w:ind w:firstLine="0"/>
              <w:jc w:val="center"/>
              <w:rPr>
                <w:rFonts w:eastAsia="Times New Roman"/>
                <w:bCs/>
              </w:rPr>
            </w:pPr>
            <w:r w:rsidRPr="00665525">
              <w:rPr>
                <w:rFonts w:eastAsia="Times New Roman"/>
                <w:bCs/>
              </w:rPr>
              <w:t>Số:        /BC-BTTTT</w:t>
            </w:r>
          </w:p>
        </w:tc>
        <w:tc>
          <w:tcPr>
            <w:tcW w:w="5740" w:type="dxa"/>
          </w:tcPr>
          <w:p w14:paraId="7C85DB5F" w14:textId="77777777" w:rsidR="00665525" w:rsidRPr="00665525" w:rsidRDefault="00665525" w:rsidP="00665525">
            <w:pPr>
              <w:keepNext/>
              <w:spacing w:before="240" w:after="0" w:line="240" w:lineRule="auto"/>
              <w:ind w:firstLine="0"/>
              <w:jc w:val="center"/>
              <w:outlineLvl w:val="1"/>
              <w:rPr>
                <w:rFonts w:eastAsia="Times New Roman"/>
                <w:bCs/>
                <w:i/>
                <w:iCs/>
                <w:sz w:val="26"/>
                <w:szCs w:val="26"/>
              </w:rPr>
            </w:pPr>
            <w:r w:rsidRPr="00665525">
              <w:rPr>
                <w:rFonts w:eastAsia="Times New Roman"/>
                <w:noProof/>
                <w:szCs w:val="24"/>
              </w:rPr>
              <mc:AlternateContent>
                <mc:Choice Requires="wps">
                  <w:drawing>
                    <wp:anchor distT="4294967295" distB="4294967295" distL="114300" distR="114300" simplePos="0" relativeHeight="251668992" behindDoc="0" locked="0" layoutInCell="1" allowOverlap="1" wp14:anchorId="5F03D94A" wp14:editId="2602F7A8">
                      <wp:simplePos x="0" y="0"/>
                      <wp:positionH relativeFrom="column">
                        <wp:posOffset>689610</wp:posOffset>
                      </wp:positionH>
                      <wp:positionV relativeFrom="paragraph">
                        <wp:posOffset>37465</wp:posOffset>
                      </wp:positionV>
                      <wp:extent cx="2141220" cy="0"/>
                      <wp:effectExtent l="0" t="0" r="304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D49FAA" id="Straight Connector 4"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pt,2.95pt" to="222.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4b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"/>
                  </w:pict>
                </mc:Fallback>
              </mc:AlternateContent>
            </w:r>
            <w:r w:rsidRPr="00665525">
              <w:rPr>
                <w:rFonts w:eastAsia="Times New Roman"/>
                <w:bCs/>
                <w:i/>
                <w:iCs/>
                <w:sz w:val="26"/>
                <w:szCs w:val="26"/>
              </w:rPr>
              <w:t>Hà Nội, ngày      tháng     năm 2021</w:t>
            </w:r>
          </w:p>
        </w:tc>
      </w:tr>
    </w:tbl>
    <w:p w14:paraId="5A35EC0C" w14:textId="77777777" w:rsidR="003C1164" w:rsidRDefault="003C1164" w:rsidP="005A1B5E">
      <w:pPr>
        <w:spacing w:after="0" w:line="240" w:lineRule="auto"/>
        <w:jc w:val="center"/>
        <w:rPr>
          <w:rFonts w:eastAsia="Times New Roman"/>
          <w:b/>
          <w:szCs w:val="26"/>
          <w:lang w:val="pl-PL"/>
        </w:rPr>
      </w:pPr>
    </w:p>
    <w:p w14:paraId="5AE3BF8C" w14:textId="77777777" w:rsidR="00665525" w:rsidRPr="00750E11" w:rsidRDefault="005A1B5E" w:rsidP="00750E11">
      <w:pPr>
        <w:spacing w:after="0" w:line="240" w:lineRule="auto"/>
        <w:ind w:firstLine="0"/>
        <w:jc w:val="center"/>
        <w:rPr>
          <w:rFonts w:eastAsia="Times New Roman"/>
          <w:b/>
          <w:sz w:val="32"/>
          <w:lang w:val="pl-PL"/>
        </w:rPr>
      </w:pPr>
      <w:r w:rsidRPr="00750E11">
        <w:rPr>
          <w:rFonts w:eastAsia="Times New Roman"/>
          <w:b/>
          <w:sz w:val="32"/>
          <w:lang w:val="pl-PL"/>
        </w:rPr>
        <w:t xml:space="preserve">BÁO CÁO </w:t>
      </w:r>
    </w:p>
    <w:p w14:paraId="14A5279A" w14:textId="3D31FA22" w:rsidR="005A1B5E" w:rsidRPr="00336A5F" w:rsidRDefault="005A1B5E" w:rsidP="00750E11">
      <w:pPr>
        <w:spacing w:after="0" w:line="240" w:lineRule="auto"/>
        <w:ind w:firstLine="0"/>
        <w:jc w:val="center"/>
        <w:rPr>
          <w:rFonts w:eastAsia="Times New Roman"/>
          <w:b/>
          <w:lang w:val="pl-PL"/>
        </w:rPr>
      </w:pPr>
      <w:r w:rsidRPr="00336A5F">
        <w:rPr>
          <w:rFonts w:eastAsia="Times New Roman"/>
          <w:b/>
          <w:lang w:val="pl-PL"/>
        </w:rPr>
        <w:t>TỔNG KẾT THI HÀNH</w:t>
      </w:r>
      <w:r w:rsidR="00665525">
        <w:rPr>
          <w:rFonts w:eastAsia="Times New Roman"/>
          <w:b/>
          <w:lang w:val="pl-PL"/>
        </w:rPr>
        <w:t xml:space="preserve"> </w:t>
      </w:r>
      <w:r w:rsidRPr="00336A5F">
        <w:rPr>
          <w:rFonts w:eastAsia="Times New Roman"/>
          <w:b/>
          <w:lang w:val="pl-PL"/>
        </w:rPr>
        <w:t>PHÁP LUẬT VỀ PHÁT TRIỂN CÔNG NGHỆ THÔNG TIN, CÔNG NGHIỆP CÔNG NGHỆ THÔNG TIN</w:t>
      </w:r>
    </w:p>
    <w:p w14:paraId="1EED0DFF" w14:textId="674B3867" w:rsidR="005A1B5E" w:rsidRDefault="005A1B5E" w:rsidP="005A1B5E">
      <w:pPr>
        <w:spacing w:after="0" w:line="240" w:lineRule="auto"/>
        <w:jc w:val="center"/>
        <w:rPr>
          <w:rFonts w:eastAsia="Times New Roman"/>
          <w:b/>
          <w:bCs/>
          <w:sz w:val="26"/>
          <w:szCs w:val="26"/>
        </w:rPr>
      </w:pPr>
      <w:r w:rsidRPr="005A1B5E">
        <w:rPr>
          <w:rFonts w:eastAsia="Times New Roman"/>
          <w:b/>
          <w:noProof/>
          <w:szCs w:val="26"/>
        </w:rPr>
        <mc:AlternateContent>
          <mc:Choice Requires="wps">
            <w:drawing>
              <wp:anchor distT="0" distB="0" distL="114300" distR="114300" simplePos="0" relativeHeight="251666944" behindDoc="0" locked="0" layoutInCell="1" allowOverlap="1" wp14:anchorId="211448AC" wp14:editId="6319DC50">
                <wp:simplePos x="0" y="0"/>
                <wp:positionH relativeFrom="column">
                  <wp:posOffset>2164080</wp:posOffset>
                </wp:positionH>
                <wp:positionV relativeFrom="paragraph">
                  <wp:posOffset>111760</wp:posOffset>
                </wp:positionV>
                <wp:extent cx="1526540" cy="0"/>
                <wp:effectExtent l="5715" t="6350" r="10795"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AE2DFA" id="_x0000_t32" coordsize="21600,21600" o:spt="32" o:oned="t" path="m,l21600,21600e" filled="f">
                <v:path arrowok="t" fillok="f" o:connecttype="none"/>
                <o:lock v:ext="edit" shapetype="t"/>
              </v:shapetype>
              <v:shape id="Straight Arrow Connector 5" o:spid="_x0000_s1026" type="#_x0000_t32" style="position:absolute;margin-left:170.4pt;margin-top:8.8pt;width:120.2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"/>
            </w:pict>
          </mc:Fallback>
        </mc:AlternateContent>
      </w:r>
    </w:p>
    <w:p w14:paraId="6B71D557" w14:textId="2191AA45" w:rsidR="00786A37" w:rsidRDefault="00786A37" w:rsidP="00750E11">
      <w:pPr>
        <w:pStyle w:val="Heading1"/>
      </w:pPr>
      <w:r>
        <w:t xml:space="preserve">phần </w:t>
      </w:r>
      <w:bookmarkStart w:id="1" w:name="_Toc75262590"/>
      <w:bookmarkEnd w:id="0"/>
      <w:r w:rsidR="00B62AF7" w:rsidRPr="00843A61">
        <w:t>I</w:t>
      </w:r>
    </w:p>
    <w:p w14:paraId="498159D9" w14:textId="7A004D32" w:rsidR="00786A37" w:rsidRDefault="00786A37" w:rsidP="00750E11">
      <w:pPr>
        <w:pStyle w:val="Heading1"/>
      </w:pPr>
      <w:r>
        <w:t xml:space="preserve">tổng quan hệ thống </w:t>
      </w:r>
      <w:r w:rsidR="00E57C5A" w:rsidRPr="00843A61">
        <w:t xml:space="preserve">pháp luật về </w:t>
      </w:r>
      <w:r w:rsidR="005A1B5E">
        <w:t xml:space="preserve">phát triển công nghệ thông tin, </w:t>
      </w:r>
      <w:r w:rsidR="00E57C5A" w:rsidRPr="00843A61">
        <w:t xml:space="preserve">công nghiệp </w:t>
      </w:r>
      <w:r w:rsidR="005A1B5E">
        <w:t>công nghệ thông tin</w:t>
      </w:r>
    </w:p>
    <w:p w14:paraId="3F3BE0D4" w14:textId="77777777" w:rsidR="00E64932" w:rsidRPr="00336A5F" w:rsidRDefault="00E64932" w:rsidP="00750E11"/>
    <w:p w14:paraId="1F5E4433" w14:textId="6BDCB840" w:rsidR="00E57C5A" w:rsidRPr="00843A61" w:rsidRDefault="003F767D">
      <w:pPr>
        <w:pStyle w:val="Heading2"/>
      </w:pPr>
      <w:r>
        <w:t>I.1. Pháp luật về phát triển công nghệ thông tin, công nghiệp CNTT</w:t>
      </w:r>
      <w:bookmarkEnd w:id="1"/>
    </w:p>
    <w:p w14:paraId="21145EAA" w14:textId="3B33956A" w:rsidR="006F55F2" w:rsidRDefault="006F55F2" w:rsidP="008543F3">
      <w:r>
        <w:t>Luật CNTT gồm 6 Chương, 79 Điều quy định toàn diện các lĩnh vực của CNTT</w:t>
      </w:r>
      <w:r w:rsidR="005B3D90">
        <w:t>, bao gồm: Ứ</w:t>
      </w:r>
      <w:r>
        <w:t xml:space="preserve">ng dụng CNTT (trong cơ quan nhà nước, </w:t>
      </w:r>
      <w:r w:rsidR="005B3D90">
        <w:t xml:space="preserve">trong </w:t>
      </w:r>
      <w:r>
        <w:t xml:space="preserve">thương mại và </w:t>
      </w:r>
      <w:r w:rsidR="005B3D90">
        <w:t xml:space="preserve">trong </w:t>
      </w:r>
      <w:r>
        <w:t>một số lĩnh vực)</w:t>
      </w:r>
      <w:r w:rsidR="005B3D90">
        <w:t xml:space="preserve">; </w:t>
      </w:r>
      <w:r w:rsidR="005B3D90" w:rsidRPr="00750E11">
        <w:rPr>
          <w:i/>
        </w:rPr>
        <w:t>P</w:t>
      </w:r>
      <w:r w:rsidRPr="00750E11">
        <w:rPr>
          <w:i/>
        </w:rPr>
        <w:t>hát triển CNTT</w:t>
      </w:r>
      <w:r w:rsidR="005B3D90" w:rsidRPr="00750E11">
        <w:rPr>
          <w:i/>
        </w:rPr>
        <w:t xml:space="preserve"> (nghiên cứu - phát triển, phát triển nguồn nhân lực, phát triển công nghiệp CNTT, phát triển dịch vụ CNTT)</w:t>
      </w:r>
      <w:r w:rsidR="005B3D90">
        <w:t xml:space="preserve">; Biện pháp bảo đảm ứng dụng và phát triển CNTT (cơ sở hạ tầng thông tin, đầu tư cho CNTT, hợp tác quốc tế về CNTT, </w:t>
      </w:r>
      <w:r w:rsidR="005B3D90" w:rsidRPr="005B3D90">
        <w:t xml:space="preserve">bảo vệ quyền, lợi ích hợp pháp </w:t>
      </w:r>
      <w:r w:rsidR="005B3D90">
        <w:t xml:space="preserve">và hỗ trợ </w:t>
      </w:r>
      <w:r w:rsidR="005B3D90" w:rsidRPr="005B3D90">
        <w:t>người sử dụng sản phẩm, dịch vụ</w:t>
      </w:r>
      <w:r w:rsidR="005B3D90">
        <w:t xml:space="preserve"> CNTT) và các nội dung chung như quy định chung, </w:t>
      </w:r>
      <w:r w:rsidR="005B3D90" w:rsidRPr="005B3D90">
        <w:t>Giải quyết tranh chấp về công nghệ thông tin</w:t>
      </w:r>
      <w:r w:rsidR="005B3D90">
        <w:t>, … Như vậy, hai cấu phần chính trong Luật CNTT là Ứng dụng CNTT và Phát triển CNTT.</w:t>
      </w:r>
    </w:p>
    <w:p w14:paraId="568E34E6" w14:textId="36FFDC01" w:rsidR="005A0E6D" w:rsidRDefault="005A0E6D" w:rsidP="00050BE6">
      <w:r>
        <w:t xml:space="preserve">Hành lang pháp lý về phát triển CNTT: Quy định về Phát triển CNTT được nêu tại Chương III của Luật CNTT gồm 4 thành phần chính là: </w:t>
      </w:r>
      <w:r w:rsidRPr="005A0E6D">
        <w:t>nghiên cứu - phát triển, phát triển nguồn nhân lực, phát triển công nghiệp CNTT, phát triển dịch vụ CNTT</w:t>
      </w:r>
      <w:r>
        <w:t xml:space="preserve">, cụ thể tại các Điều từ 38 đến 53 của Luật CNTT. Ngoài ra, nội dung về phát triển CNTT còn được đề cập tại Chương IV của Luật CNTT về </w:t>
      </w:r>
      <w:r w:rsidRPr="005A0E6D">
        <w:t>Biện pháp bảo đảm ứng dụng và phát triển CNTT</w:t>
      </w:r>
      <w:r>
        <w:t>.</w:t>
      </w:r>
      <w:r w:rsidRPr="005A0E6D">
        <w:t xml:space="preserve"> Các cấu </w:t>
      </w:r>
      <w:r>
        <w:t>phần</w:t>
      </w:r>
      <w:r w:rsidRPr="005A0E6D">
        <w:t xml:space="preserve"> của ngành công nghiệp CNTT được quy định tại Luật</w:t>
      </w:r>
      <w:r w:rsidR="00FC0EDF">
        <w:t xml:space="preserve"> </w:t>
      </w:r>
      <w:r>
        <w:t>CNTT</w:t>
      </w:r>
      <w:r w:rsidRPr="005A0E6D">
        <w:t xml:space="preserve"> bao gồm các loại hình: Công nghiệp phần cứng, điện tử; công nghiệp phần mềm; công nghiệp nội dung số; khu CNTT tập trung. Để làm rõ hơn một bước nữa các khái niệm trong lĩnh vực công nghiệp CNTT, Chính phủ đã ban hành Nghị định số 71/2007//NĐ-CP ngày 03/5/2007 quy định chi tiết và hướng dẫn một số điều về công nghiệp CNTT của Luật công nghệ thông tin. Chính phủ cũng đã ban hành Nghị định số 154/2013/NĐ-CP ngày 08/11/2013 quy định về khu CNTT tập trung và Quyết định số 2407/QĐ-TTg ngày 31/12/2014 của Thủ tướng Chính phủ phê duyệt </w:t>
      </w:r>
      <w:r w:rsidRPr="005A0E6D">
        <w:lastRenderedPageBreak/>
        <w:t>Quy hoạch tổng thể phát triển khu CNTT tập trung đến năm 2020, định hướng đến năm 2025 để tạo hành lang pháp lý phát triển khu CNTT tập trung.</w:t>
      </w:r>
    </w:p>
    <w:p w14:paraId="11E807E5" w14:textId="446AFC3B" w:rsidR="005A0E6D" w:rsidRPr="00750E11" w:rsidRDefault="008543F3" w:rsidP="00050BE6">
      <w:pPr>
        <w:rPr>
          <w:i/>
        </w:rPr>
      </w:pPr>
      <w:r w:rsidRPr="008543F3">
        <w:t xml:space="preserve">Hiện nay, bối cảnh quốc tế, tình hình phát triển đất nước và bản thân lĩnh vực CNTT đã có nhiều thay đổi. Thế giới đã bước sang thập niên thứ hai của thế kỷ XXI với những thay đổi cơ bản về khoa học, công nghệ, mức độ cạnh tranh trên trường quốc tế. Xuất hiện hàng loạt xu hướng công nghệ mới có tính đột phá, những mô hình sản xuất, kinh doanh tiên tiến trong cuộc cách mạng công nghiệp lần thứ 4, nền kinh tế số. </w:t>
      </w:r>
      <w:r w:rsidR="005A0E6D">
        <w:t xml:space="preserve">Xu thế phát triển mới đang làm thay đổi ngành công nghiệp CNTT, biến đổi sang công nghệ số, dần hình thành ngành công nghiệp công nghệ số. </w:t>
      </w:r>
      <w:r w:rsidR="005A0E6D" w:rsidRPr="00750E11">
        <w:rPr>
          <w:i/>
        </w:rPr>
        <w:t>Do vậy, cần phải nghiên cứu để sửa đổi, thay thế, hoàn thiện khung pháp lý về phát triển CNTT, công nghiệp CNTT, hướng tới hình thành khung pháp lý về công nghiệp công nghệ số.</w:t>
      </w:r>
    </w:p>
    <w:p w14:paraId="7C52E6BF" w14:textId="465437F9" w:rsidR="005A0E6D" w:rsidRPr="00750E11" w:rsidRDefault="003F767D" w:rsidP="00750E11">
      <w:pPr>
        <w:pStyle w:val="Heading2"/>
      </w:pPr>
      <w:r>
        <w:t xml:space="preserve">I.2. </w:t>
      </w:r>
      <w:r w:rsidR="005A0E6D" w:rsidRPr="00336A5F">
        <w:t>M</w:t>
      </w:r>
      <w:r w:rsidR="005A0E6D" w:rsidRPr="002936B1">
        <w:t>ột s</w:t>
      </w:r>
      <w:r w:rsidR="005A0E6D" w:rsidRPr="005A5D83">
        <w:t>ố văn bản QPPL về phát triển CNTT, công nghiệ</w:t>
      </w:r>
      <w:r w:rsidR="004A7791">
        <w:t>p CNTT</w:t>
      </w:r>
    </w:p>
    <w:p w14:paraId="7E6B1777" w14:textId="0EE0ECB7" w:rsidR="00050BE6" w:rsidRPr="00843A61" w:rsidRDefault="005A0E6D" w:rsidP="00BE1F7B">
      <w:r>
        <w:t>- Luật CNTT năm 2006, Chương III về Phát triển CNTT.</w:t>
      </w:r>
      <w:r w:rsidR="00050BE6" w:rsidRPr="00843A61">
        <w:t xml:space="preserve"> </w:t>
      </w:r>
    </w:p>
    <w:p w14:paraId="6D70203F" w14:textId="70AAC3EA" w:rsidR="00050BE6" w:rsidRPr="00843A61" w:rsidRDefault="001F6ED2" w:rsidP="00050BE6">
      <w:r>
        <w:t>-</w:t>
      </w:r>
      <w:r w:rsidR="00050BE6" w:rsidRPr="00843A61">
        <w:t xml:space="preserve"> Nghị định số 71/2007/NĐ-CP ngày 03/5/2007</w:t>
      </w:r>
      <w:r w:rsidR="004A7791">
        <w:t xml:space="preserve"> của Chính phủ</w:t>
      </w:r>
      <w:r w:rsidR="00050BE6" w:rsidRPr="00843A61">
        <w:t xml:space="preserve"> quy định chi tiết và hướng dẫn thực hiện một số điều của Luật công nghệ thông tin về công nghiệp CNTT. </w:t>
      </w:r>
    </w:p>
    <w:p w14:paraId="01920002" w14:textId="18A69884" w:rsidR="00050BE6" w:rsidRPr="00843A61" w:rsidRDefault="001F6ED2" w:rsidP="00050BE6">
      <w:r>
        <w:t>-</w:t>
      </w:r>
      <w:r w:rsidR="00050BE6" w:rsidRPr="00843A61">
        <w:t xml:space="preserve"> Nghị định số 154/2013/NĐ-CP ngày 08/11/2013 </w:t>
      </w:r>
      <w:r w:rsidR="004A7791">
        <w:t xml:space="preserve">của Chính phủ </w:t>
      </w:r>
      <w:r w:rsidR="00050BE6" w:rsidRPr="00843A61">
        <w:t xml:space="preserve">quy định về khu CNTT tập trung. </w:t>
      </w:r>
    </w:p>
    <w:p w14:paraId="6F733126" w14:textId="46D59B66" w:rsidR="005A0E6D" w:rsidRDefault="001F6ED2" w:rsidP="00050BE6">
      <w:r>
        <w:t xml:space="preserve">- </w:t>
      </w:r>
      <w:r w:rsidR="00050BE6" w:rsidRPr="00843A61">
        <w:t xml:space="preserve">Quyết định số 31/2019/QĐ-TTg </w:t>
      </w:r>
      <w:r w:rsidR="004A7791">
        <w:t xml:space="preserve">ngày 09/10/2019 của Thủ tướng Chính phủ </w:t>
      </w:r>
      <w:r w:rsidR="00050BE6" w:rsidRPr="00843A61">
        <w:t>về nhập khẩu hàng hóa thuộc danh mục sản phẩm CNTT đã qua sử dụng cấm nhập khẩu để nghiên cứu khoa học và thực hiện hoạt động gia công sửa chữa</w:t>
      </w:r>
      <w:r w:rsidR="00EB184D">
        <w:t>.</w:t>
      </w:r>
      <w:r w:rsidR="00050BE6" w:rsidRPr="00843A61">
        <w:t xml:space="preserve"> </w:t>
      </w:r>
    </w:p>
    <w:p w14:paraId="790AD4DF" w14:textId="5EDD2AE5" w:rsidR="00EB184D" w:rsidRDefault="005A0E6D" w:rsidP="00050BE6">
      <w:r>
        <w:t xml:space="preserve">- </w:t>
      </w:r>
      <w:r w:rsidRPr="00843A61">
        <w:t xml:space="preserve">Quyết định </w:t>
      </w:r>
      <w:r w:rsidR="00050BE6" w:rsidRPr="00843A61">
        <w:t xml:space="preserve">số 18/2016/QĐ-TTg </w:t>
      </w:r>
      <w:r w:rsidR="004A7791">
        <w:t xml:space="preserve">ngày 06/5/2016 của Thủ tướng Chính phủ quy định các trường hợp cho phép nhập khẩu </w:t>
      </w:r>
      <w:r w:rsidR="00050BE6" w:rsidRPr="00843A61">
        <w:t>sản phẩm CNTT đã qua sử dụng cấm nhập khẩu</w:t>
      </w:r>
      <w:r w:rsidR="00EB184D">
        <w:t>.</w:t>
      </w:r>
    </w:p>
    <w:p w14:paraId="59170E96" w14:textId="19C3E955" w:rsidR="00050BE6" w:rsidRPr="00843A61" w:rsidRDefault="00EB184D" w:rsidP="00050BE6">
      <w:r>
        <w:t xml:space="preserve">- </w:t>
      </w:r>
      <w:r w:rsidRPr="00843A61">
        <w:t>Quyết định</w:t>
      </w:r>
      <w:r w:rsidR="00050BE6" w:rsidRPr="00843A61">
        <w:t xml:space="preserve"> số 80/2014/QĐ-TTg </w:t>
      </w:r>
      <w:r w:rsidR="004A7791">
        <w:t xml:space="preserve">ngày 31/12/2014 </w:t>
      </w:r>
      <w:r w:rsidR="00050BE6" w:rsidRPr="00843A61">
        <w:t>về thuê dịch vụ công nghệ thông tin, số 223/2006/QĐ-TTg và số 169/2006/QĐ-TTg về đầu tư mua sắm các sản phẩm CNTT.</w:t>
      </w:r>
    </w:p>
    <w:p w14:paraId="25DB88F2" w14:textId="72332EAC" w:rsidR="00EB184D" w:rsidRPr="00750E11" w:rsidRDefault="003F767D" w:rsidP="00750E11">
      <w:pPr>
        <w:pStyle w:val="Heading2"/>
      </w:pPr>
      <w:r>
        <w:t xml:space="preserve">I.3. </w:t>
      </w:r>
      <w:r w:rsidR="00EB184D" w:rsidRPr="00336A5F">
        <w:t>M</w:t>
      </w:r>
      <w:r w:rsidR="00EB184D" w:rsidRPr="002936B1">
        <w:t>ột s</w:t>
      </w:r>
      <w:r w:rsidR="00EB184D" w:rsidRPr="005A5D83">
        <w:t>ố văn bản chỉ đạo, điều hành quan trọng về</w:t>
      </w:r>
      <w:r w:rsidR="00EB184D" w:rsidRPr="00671F3E">
        <w:t xml:space="preserve"> phát triể</w:t>
      </w:r>
      <w:r w:rsidR="00EB184D" w:rsidRPr="00750E11">
        <w:t>n CNTT, công nghiệ</w:t>
      </w:r>
      <w:r w:rsidR="004A7791">
        <w:t>p CNTT</w:t>
      </w:r>
    </w:p>
    <w:p w14:paraId="5B8C17E8" w14:textId="158F6179" w:rsidR="00EB184D" w:rsidRDefault="00EB184D">
      <w:r>
        <w:t xml:space="preserve">- </w:t>
      </w:r>
      <w:r w:rsidR="00050BE6" w:rsidRPr="00843A61">
        <w:t>Quyết định số 153/QĐ-TTg ngày 30/01/2018 của Thủ tướng Chính phủ về Chương trình mục tiêu công nghệ thông tin giai đoạn 2016-2020</w:t>
      </w:r>
      <w:r>
        <w:t>.</w:t>
      </w:r>
    </w:p>
    <w:p w14:paraId="4043369A" w14:textId="77777777" w:rsidR="00EB184D" w:rsidRDefault="00EB184D">
      <w:r>
        <w:t>-</w:t>
      </w:r>
      <w:r w:rsidR="00050BE6" w:rsidRPr="00843A61">
        <w:t xml:space="preserve"> Quyết định số 392/QĐ-TTg ngày 27/3/2015 của Thủ tướng Chính phủ về Chương trình mục tiêu phát triển ngành công nghiệp công nghệ thông tin đến năm 2020, tầm nhìn đến năm 2025</w:t>
      </w:r>
      <w:r>
        <w:t>.</w:t>
      </w:r>
    </w:p>
    <w:p w14:paraId="3421477C" w14:textId="3274E319" w:rsidR="00EB184D" w:rsidRDefault="00EB184D">
      <w:r>
        <w:lastRenderedPageBreak/>
        <w:t>-</w:t>
      </w:r>
      <w:r w:rsidR="00050BE6" w:rsidRPr="00843A61">
        <w:t xml:space="preserve"> Quyết định số 1755/QĐ-TTg ngày 22/9/2010 của Thủ tướng Chính phủ về Đề án “Đưa Việt Nam sớm trở thành nước mạnh về công nghệ thông tin và truyền thông”</w:t>
      </w:r>
      <w:r>
        <w:t>.</w:t>
      </w:r>
    </w:p>
    <w:p w14:paraId="57B5AADE" w14:textId="77777777" w:rsidR="0068527F" w:rsidRPr="00843A61" w:rsidRDefault="0068527F" w:rsidP="0068527F">
      <w:r>
        <w:t>-</w:t>
      </w:r>
      <w:r w:rsidRPr="00843A61">
        <w:t xml:space="preserve"> Quyết định số 698/QĐ-TTg ngày 01/6/2009 của Thủ tướng Chính phủ về Kế hoạch tổng thể phát triển nguồn nhân lực công nghệ thông tin đến đến năm 2015 và định hướng đến năm 2020.</w:t>
      </w:r>
    </w:p>
    <w:p w14:paraId="265498FF" w14:textId="49390249" w:rsidR="00EB184D" w:rsidRDefault="00EB184D">
      <w:r>
        <w:t>-</w:t>
      </w:r>
      <w:r w:rsidR="00050BE6" w:rsidRPr="00843A61">
        <w:t xml:space="preserve"> </w:t>
      </w:r>
      <w:r w:rsidR="001F6ED2">
        <w:t xml:space="preserve">Quyết định số 51/2007/QĐ-TTg về </w:t>
      </w:r>
      <w:bookmarkStart w:id="2" w:name="dieu_2_name"/>
      <w:r w:rsidR="001F6ED2" w:rsidRPr="001F6ED2">
        <w:t>Chương trình phát triển công nghiệp phần mềm Việt Nam đến năm 2010</w:t>
      </w:r>
      <w:r>
        <w:t>.</w:t>
      </w:r>
      <w:r w:rsidR="001F6ED2">
        <w:t xml:space="preserve"> </w:t>
      </w:r>
    </w:p>
    <w:p w14:paraId="446F8039" w14:textId="2B1979F2" w:rsidR="00EB184D" w:rsidRDefault="00EB184D">
      <w:r>
        <w:t xml:space="preserve">- </w:t>
      </w:r>
      <w:r w:rsidR="001F6ED2" w:rsidRPr="001F6ED2">
        <w:t>Quyết định số 56/2007/QĐ-TTg</w:t>
      </w:r>
      <w:r w:rsidR="001F6ED2">
        <w:t xml:space="preserve"> về</w:t>
      </w:r>
      <w:r w:rsidR="001F6ED2" w:rsidRPr="001F6ED2">
        <w:t xml:space="preserve"> Chương trình phát triển công nghiệp nội dung số Việt Nam đến năm 2010</w:t>
      </w:r>
      <w:bookmarkEnd w:id="2"/>
      <w:r>
        <w:t>.</w:t>
      </w:r>
    </w:p>
    <w:p w14:paraId="6081339B" w14:textId="0B680113" w:rsidR="00EB184D" w:rsidRDefault="00EB184D">
      <w:r>
        <w:t>-</w:t>
      </w:r>
      <w:r w:rsidR="001F6ED2">
        <w:t xml:space="preserve"> </w:t>
      </w:r>
      <w:r w:rsidR="00050BE6" w:rsidRPr="00843A61">
        <w:t>Quyết định số 50/2009/QĐ-TTg của Thủ tướng Chính phủ về quy chế quản lý Chương trình phát triển công nghiệp phần mềm và Chương trình phát triển công nghiệp nội dung số Việt Nam</w:t>
      </w:r>
      <w:r>
        <w:t>.</w:t>
      </w:r>
    </w:p>
    <w:p w14:paraId="4DFF2A77" w14:textId="7AF76727" w:rsidR="0068527F" w:rsidRDefault="0068527F" w:rsidP="0068527F">
      <w:r>
        <w:t xml:space="preserve">- Quyết số 75/2007/QĐ-TTg của Thủ tướng Chính phủ phê duyệt Kế hoạch tổng thể phát triển công nghiệp điện tử Việt Nam đến năm 2010 và tầm nhìn đến năm 2020. </w:t>
      </w:r>
    </w:p>
    <w:p w14:paraId="61AD66FE" w14:textId="77777777" w:rsidR="003C1164" w:rsidRDefault="003C1164" w:rsidP="00750E11">
      <w:pPr>
        <w:pStyle w:val="Heading1"/>
      </w:pPr>
      <w:bookmarkStart w:id="3" w:name="_Toc75262591"/>
    </w:p>
    <w:p w14:paraId="5D1DC6EB" w14:textId="2FFDE64F" w:rsidR="003C1164" w:rsidRDefault="003C1164" w:rsidP="00750E11">
      <w:pPr>
        <w:pStyle w:val="Heading1"/>
      </w:pPr>
      <w:r>
        <w:t xml:space="preserve">Phần </w:t>
      </w:r>
      <w:r w:rsidR="00B62AF7" w:rsidRPr="00843A61">
        <w:t>II</w:t>
      </w:r>
    </w:p>
    <w:p w14:paraId="23A5902D" w14:textId="6B5D88A4" w:rsidR="00E57C5A" w:rsidRDefault="00BE1F7B" w:rsidP="00750E11">
      <w:pPr>
        <w:pStyle w:val="Heading1"/>
      </w:pPr>
      <w:r>
        <w:t>Kết quả triển khai</w:t>
      </w:r>
      <w:bookmarkEnd w:id="3"/>
      <w:r w:rsidR="00535487">
        <w:t xml:space="preserve"> pháp luật về phát triển CNTT, công nghiệp CNTT</w:t>
      </w:r>
    </w:p>
    <w:p w14:paraId="70315DB9" w14:textId="77777777" w:rsidR="00643335" w:rsidRPr="002936B1" w:rsidRDefault="00643335" w:rsidP="00750E11"/>
    <w:p w14:paraId="2198CFC3" w14:textId="32B73C45" w:rsidR="00050BE6" w:rsidRPr="00050BE6" w:rsidRDefault="00050BE6" w:rsidP="00BE1F7B">
      <w:r w:rsidRPr="00050BE6">
        <w:t xml:space="preserve">Theo Luật Công nghệ thông tin năm 2006 và Nghị định 71/2007/NĐ-CP, pháp luật về </w:t>
      </w:r>
      <w:r w:rsidR="00535487">
        <w:t xml:space="preserve">phát triển CNTT, </w:t>
      </w:r>
      <w:r w:rsidRPr="00050BE6">
        <w:t xml:space="preserve">công nghiệp </w:t>
      </w:r>
      <w:r w:rsidR="00535487">
        <w:t>CNTT</w:t>
      </w:r>
      <w:r w:rsidRPr="00050BE6">
        <w:t xml:space="preserve"> bao gồm quy định về:</w:t>
      </w:r>
      <w:r w:rsidR="00535487" w:rsidRPr="00050BE6" w:rsidDel="00535487">
        <w:t xml:space="preserve"> </w:t>
      </w:r>
      <w:r w:rsidR="00535487">
        <w:t>N</w:t>
      </w:r>
      <w:r w:rsidR="00535487" w:rsidRPr="00535487">
        <w:t>ghiên cứu - phát triển</w:t>
      </w:r>
      <w:r w:rsidR="00535487">
        <w:t xml:space="preserve"> CNTT</w:t>
      </w:r>
      <w:r w:rsidR="00535487" w:rsidRPr="00535487">
        <w:t>, phát triển nguồn nhân lực, phát triển công nghiệp CNTT, phát triển dịch vụ CNTT</w:t>
      </w:r>
      <w:r w:rsidR="00535487">
        <w:t>, các biện pháp bảo đảm phát triển CNTT như cơ sở hạ tầng, đầu tư, hợp tác quốc tế..</w:t>
      </w:r>
      <w:r w:rsidRPr="00050BE6">
        <w:t xml:space="preserve">. Thực thi các quy định pháp luật về </w:t>
      </w:r>
      <w:r w:rsidR="00FB7851">
        <w:t xml:space="preserve">phát triển CNTT, </w:t>
      </w:r>
      <w:r w:rsidRPr="00050BE6">
        <w:t xml:space="preserve">công nghiệp </w:t>
      </w:r>
      <w:r w:rsidR="00535487">
        <w:t>CNTT</w:t>
      </w:r>
      <w:r w:rsidRPr="00050BE6">
        <w:t xml:space="preserve"> và các Chương trình, Kế hoạch phát triển ngành công nghiệp </w:t>
      </w:r>
      <w:r w:rsidR="00535487">
        <w:t>CNTT</w:t>
      </w:r>
      <w:r w:rsidRPr="00050BE6">
        <w:t xml:space="preserve"> qua các giai đoạn đã định hình ngành công nghiệp </w:t>
      </w:r>
      <w:r w:rsidR="00535487">
        <w:t>CNTT</w:t>
      </w:r>
      <w:r w:rsidRPr="00050BE6">
        <w:t xml:space="preserve"> Việt Nam, giúp ngành này trở thành ngành kinh tế quan trọng của đất nước.</w:t>
      </w:r>
    </w:p>
    <w:p w14:paraId="7E673544" w14:textId="3A8FFCD5" w:rsidR="00050BE6" w:rsidRPr="00843A61" w:rsidRDefault="00677953" w:rsidP="00750E11">
      <w:pPr>
        <w:pStyle w:val="Heading2"/>
      </w:pPr>
      <w:bookmarkStart w:id="4" w:name="_Toc75262592"/>
      <w:r w:rsidRPr="00843A61">
        <w:t>II</w:t>
      </w:r>
      <w:r w:rsidR="00050BE6" w:rsidRPr="00843A61">
        <w:t xml:space="preserve">.1. Về phát triển ngành công nghiệp </w:t>
      </w:r>
      <w:bookmarkEnd w:id="4"/>
      <w:r w:rsidR="00535487">
        <w:t>CNTT</w:t>
      </w:r>
    </w:p>
    <w:p w14:paraId="58737234" w14:textId="30926B4E" w:rsidR="00050BE6" w:rsidRPr="00050BE6" w:rsidRDefault="00050BE6" w:rsidP="00050BE6">
      <w:r w:rsidRPr="00050BE6">
        <w:t xml:space="preserve">Trong bối cảnh dịch Covid-19, nhiều lĩnh vực của nền kinh tế đang suy giảm, lĩnh vực công nghiệp </w:t>
      </w:r>
      <w:r w:rsidR="00535487">
        <w:t>CNTT</w:t>
      </w:r>
      <w:r w:rsidRPr="00050BE6">
        <w:t xml:space="preserve"> tiếp tục giữ vững được sự tăng trưởng dù chưa đạt được mức tăng trưởng như các năm trước. Tổng doanh thu công nghiệp </w:t>
      </w:r>
      <w:r w:rsidR="00535487">
        <w:t>CNTT</w:t>
      </w:r>
      <w:r w:rsidRPr="00050BE6">
        <w:t xml:space="preserve"> năm 2020 đạt 123,5 tỷ USD, gấp 20 lần so với năm 2009 (6,2 tỷ USD) và gấp hơn 2 lần năm 2015. Tốc độ tăng trưởng giai đoạn 2015-2020 đạt bình quân 15,2%/năm, cao hơn 2 lần tốc độ tăng trưởng GDP, trở thành một trong những ngành kinh tế có tốc độ tăng trưởng nhanh nhất, quy mô lớn nhất của cả nước. </w:t>
      </w:r>
      <w:r w:rsidRPr="00050BE6">
        <w:lastRenderedPageBreak/>
        <w:t xml:space="preserve">Năm 2020, Việt Nam đã hình thành đội ngũ lao động công nghệ số với hơn 1 triệu người. Các doanh nghiệp công nghiệp </w:t>
      </w:r>
      <w:r w:rsidR="00535487">
        <w:t>CNTT</w:t>
      </w:r>
      <w:r w:rsidRPr="00050BE6">
        <w:t xml:space="preserve"> đã nộp ngân sách nhà nước </w:t>
      </w:r>
      <w:r w:rsidR="00B86C89">
        <w:t>gần</w:t>
      </w:r>
      <w:r w:rsidR="00B86C89">
        <w:rPr>
          <w:lang w:val="vi-VN"/>
        </w:rPr>
        <w:t xml:space="preserve"> </w:t>
      </w:r>
      <w:r w:rsidR="00B86C89">
        <w:t>60</w:t>
      </w:r>
      <w:r w:rsidRPr="00050BE6">
        <w:t xml:space="preserve"> nghìn tỷ đồng. Các mặt hàng công nghiệp </w:t>
      </w:r>
      <w:r w:rsidR="00535487">
        <w:t>CNTT</w:t>
      </w:r>
      <w:r w:rsidRPr="00050BE6">
        <w:t xml:space="preserve"> đặc biệt là điện thoại và máy tính vẫn đứng vững trong danh sách top 10 nhóm hàng xuất khẩu lớn nhất của Việt Nam năm 2020, đưa ngành công nghiệp phần cứng, điện tử của Việt Nam xuất siêu </w:t>
      </w:r>
      <w:r w:rsidR="00B86C89">
        <w:t>hơn</w:t>
      </w:r>
      <w:r w:rsidR="004A7791">
        <w:t xml:space="preserve"> </w:t>
      </w:r>
      <w:r w:rsidRPr="00050BE6">
        <w:t>15 tỷ USD.</w:t>
      </w:r>
    </w:p>
    <w:p w14:paraId="5FF12282" w14:textId="575F8D00" w:rsidR="00050BE6" w:rsidRPr="00050BE6" w:rsidRDefault="00050BE6" w:rsidP="00750E11">
      <w:pPr>
        <w:tabs>
          <w:tab w:val="left" w:pos="993"/>
        </w:tabs>
        <w:spacing w:after="0"/>
        <w:ind w:firstLine="0"/>
        <w:rPr>
          <w:rFonts w:eastAsia="Times New Roman"/>
        </w:rPr>
      </w:pPr>
      <w:r w:rsidRPr="00050BE6">
        <w:rPr>
          <w:rFonts w:eastAsia="Times New Roman"/>
          <w:noProof/>
          <w:szCs w:val="24"/>
        </w:rPr>
        <w:drawing>
          <wp:inline distT="0" distB="0" distL="0" distR="0" wp14:anchorId="19A4AA73" wp14:editId="04D65902">
            <wp:extent cx="5707380" cy="2827020"/>
            <wp:effectExtent l="0" t="0" r="7620" b="11430"/>
            <wp:docPr id="1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1B5FD4" w14:textId="08B61A3F" w:rsidR="00774E79" w:rsidRDefault="00050BE6" w:rsidP="00750E11">
      <w:pPr>
        <w:rPr>
          <w:rFonts w:eastAsia="Times New Roman"/>
          <w:bCs/>
          <w:i/>
          <w:spacing w:val="-6"/>
          <w:sz w:val="24"/>
          <w:szCs w:val="24"/>
        </w:rPr>
      </w:pPr>
      <w:r w:rsidRPr="00050BE6">
        <w:t xml:space="preserve">Về đóng góp cho GDP, nếu trong các giai đoạn trước năm 2015, ngành công nghiệp </w:t>
      </w:r>
      <w:r w:rsidR="00535487">
        <w:t>CNTT</w:t>
      </w:r>
      <w:r w:rsidRPr="00050BE6">
        <w:t xml:space="preserve"> thường được đánh giá là “quy mô ngành công nghiệp còn nhỏ, giá trị gia tăng chưa cao”. Tuy vậy, từ năm 2015 trở lại đây, ngành công nghiệp </w:t>
      </w:r>
      <w:r w:rsidR="00535487">
        <w:t>CNTT</w:t>
      </w:r>
      <w:r w:rsidRPr="00050BE6">
        <w:t xml:space="preserve"> đã có một vị thế hoàn toàn khác. Đến nay, công nghiệp </w:t>
      </w:r>
      <w:r w:rsidR="00535487">
        <w:t>CNTT</w:t>
      </w:r>
      <w:r w:rsidRPr="00050BE6">
        <w:t xml:space="preserve"> đã trở thành lĩnh vực có quy mô lớn của nền kinh tế cả về doanh thu, xuất khẩu, chiếm tỉ trọng cao trong đóng góp ngân sách nhà nước cũng như đóng góp cho GDP.</w:t>
      </w:r>
    </w:p>
    <w:p w14:paraId="03CCABC9" w14:textId="4D19868D" w:rsidR="00050BE6" w:rsidRPr="00901366" w:rsidRDefault="00050BE6" w:rsidP="00901366">
      <w:pPr>
        <w:tabs>
          <w:tab w:val="left" w:pos="993"/>
        </w:tabs>
        <w:spacing w:after="240"/>
        <w:jc w:val="center"/>
        <w:rPr>
          <w:rFonts w:eastAsia="Times New Roman"/>
          <w:bCs/>
          <w:i/>
          <w:spacing w:val="-6"/>
          <w:sz w:val="24"/>
          <w:szCs w:val="24"/>
        </w:rPr>
      </w:pPr>
      <w:r w:rsidRPr="00050BE6">
        <w:rPr>
          <w:rFonts w:eastAsia="Times New Roman"/>
          <w:bCs/>
          <w:i/>
          <w:spacing w:val="-6"/>
          <w:sz w:val="24"/>
          <w:szCs w:val="24"/>
        </w:rPr>
        <w:t xml:space="preserve">Một số số liệu phát triển ngành công nghiệp </w:t>
      </w:r>
      <w:r w:rsidR="00535487">
        <w:rPr>
          <w:rFonts w:eastAsia="Times New Roman"/>
          <w:bCs/>
          <w:i/>
          <w:spacing w:val="-6"/>
          <w:sz w:val="24"/>
          <w:szCs w:val="24"/>
        </w:rPr>
        <w:t>CNTT</w:t>
      </w:r>
      <w:r w:rsidRPr="00050BE6">
        <w:rPr>
          <w:rFonts w:eastAsia="Times New Roman"/>
          <w:bCs/>
          <w:i/>
          <w:spacing w:val="-6"/>
          <w:sz w:val="24"/>
          <w:szCs w:val="24"/>
        </w:rPr>
        <w:t xml:space="preserve"> giai đoạn 2016-2020</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39"/>
        <w:gridCol w:w="850"/>
        <w:gridCol w:w="852"/>
        <w:gridCol w:w="850"/>
        <w:gridCol w:w="851"/>
        <w:gridCol w:w="1134"/>
        <w:gridCol w:w="1133"/>
      </w:tblGrid>
      <w:tr w:rsidR="00050BE6" w:rsidRPr="00050BE6" w14:paraId="28F556ED" w14:textId="77777777" w:rsidTr="00D710E2">
        <w:trPr>
          <w:trHeight w:val="599"/>
          <w:tblHeader/>
          <w:jc w:val="center"/>
        </w:trPr>
        <w:tc>
          <w:tcPr>
            <w:tcW w:w="3539" w:type="dxa"/>
            <w:tcBorders>
              <w:top w:val="single" w:sz="4" w:space="0" w:color="auto"/>
              <w:left w:val="single" w:sz="4" w:space="0" w:color="auto"/>
              <w:bottom w:val="single" w:sz="4" w:space="0" w:color="auto"/>
              <w:right w:val="single" w:sz="4" w:space="0" w:color="auto"/>
            </w:tcBorders>
            <w:vAlign w:val="center"/>
          </w:tcPr>
          <w:p w14:paraId="5DE6EB6D" w14:textId="77777777" w:rsidR="00050BE6" w:rsidRPr="00050BE6" w:rsidRDefault="00050BE6" w:rsidP="00750E11">
            <w:pPr>
              <w:widowControl w:val="0"/>
              <w:tabs>
                <w:tab w:val="left" w:pos="993"/>
              </w:tabs>
              <w:autoSpaceDE w:val="0"/>
              <w:autoSpaceDN w:val="0"/>
              <w:spacing w:before="60" w:after="60"/>
              <w:ind w:left="114" w:right="114" w:firstLine="0"/>
              <w:rPr>
                <w:rFonts w:eastAsia="Times New Roman"/>
                <w:sz w:val="24"/>
                <w:szCs w:val="24"/>
                <w:lang w:val="vi-VN"/>
              </w:rPr>
            </w:pPr>
            <w:bookmarkStart w:id="5" w:name="_GoBack"/>
          </w:p>
        </w:tc>
        <w:tc>
          <w:tcPr>
            <w:tcW w:w="850" w:type="dxa"/>
            <w:tcBorders>
              <w:top w:val="single" w:sz="4" w:space="0" w:color="auto"/>
              <w:left w:val="single" w:sz="4" w:space="0" w:color="auto"/>
              <w:bottom w:val="single" w:sz="4" w:space="0" w:color="auto"/>
              <w:right w:val="single" w:sz="4" w:space="0" w:color="auto"/>
            </w:tcBorders>
            <w:vAlign w:val="center"/>
            <w:hideMark/>
          </w:tcPr>
          <w:p w14:paraId="7EE29148"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b/>
                <w:sz w:val="24"/>
                <w:szCs w:val="24"/>
                <w:lang w:val="vi-VN"/>
              </w:rPr>
            </w:pPr>
            <w:r w:rsidRPr="00050BE6">
              <w:rPr>
                <w:rFonts w:eastAsia="Times New Roman"/>
                <w:b/>
                <w:sz w:val="24"/>
                <w:szCs w:val="24"/>
                <w:lang w:val="vi-VN"/>
              </w:rPr>
              <w:t>Đơn vị tính</w:t>
            </w:r>
          </w:p>
        </w:tc>
        <w:tc>
          <w:tcPr>
            <w:tcW w:w="852" w:type="dxa"/>
            <w:tcBorders>
              <w:top w:val="single" w:sz="4" w:space="0" w:color="auto"/>
              <w:left w:val="single" w:sz="4" w:space="0" w:color="auto"/>
              <w:bottom w:val="single" w:sz="4" w:space="0" w:color="auto"/>
              <w:right w:val="single" w:sz="4" w:space="0" w:color="auto"/>
            </w:tcBorders>
            <w:vAlign w:val="center"/>
            <w:hideMark/>
          </w:tcPr>
          <w:p w14:paraId="54EC6B72"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b/>
                <w:sz w:val="24"/>
                <w:szCs w:val="24"/>
                <w:lang w:val="vi-VN"/>
              </w:rPr>
            </w:pPr>
            <w:r w:rsidRPr="00050BE6">
              <w:rPr>
                <w:rFonts w:eastAsia="Times New Roman"/>
                <w:b/>
                <w:sz w:val="24"/>
                <w:szCs w:val="24"/>
                <w:lang w:val="vi-VN"/>
              </w:rPr>
              <w:t>2016</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E2CAA9"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b/>
                <w:sz w:val="24"/>
                <w:szCs w:val="24"/>
                <w:lang w:val="vi-VN"/>
              </w:rPr>
            </w:pPr>
            <w:r w:rsidRPr="00050BE6">
              <w:rPr>
                <w:rFonts w:eastAsia="Times New Roman"/>
                <w:b/>
                <w:sz w:val="24"/>
                <w:szCs w:val="24"/>
                <w:lang w:val="vi-VN"/>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856B7D"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b/>
                <w:sz w:val="24"/>
                <w:szCs w:val="24"/>
                <w:lang w:val="vi-VN"/>
              </w:rPr>
            </w:pPr>
            <w:r w:rsidRPr="00050BE6">
              <w:rPr>
                <w:rFonts w:eastAsia="Times New Roman"/>
                <w:b/>
                <w:sz w:val="24"/>
                <w:szCs w:val="24"/>
                <w:lang w:val="vi-V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79A028"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b/>
                <w:sz w:val="24"/>
                <w:szCs w:val="24"/>
                <w:lang w:val="vi-VN"/>
              </w:rPr>
            </w:pPr>
            <w:r w:rsidRPr="00050BE6">
              <w:rPr>
                <w:rFonts w:eastAsia="Times New Roman"/>
                <w:b/>
                <w:sz w:val="24"/>
                <w:szCs w:val="24"/>
                <w:lang w:val="vi-VN"/>
              </w:rPr>
              <w:t>2019</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5020136" w14:textId="77777777" w:rsidR="00050BE6" w:rsidRPr="00050BE6" w:rsidRDefault="00050BE6" w:rsidP="00750E11">
            <w:pPr>
              <w:widowControl w:val="0"/>
              <w:autoSpaceDE w:val="0"/>
              <w:autoSpaceDN w:val="0"/>
              <w:spacing w:before="60" w:after="60"/>
              <w:ind w:left="-34" w:right="-22" w:firstLine="0"/>
              <w:jc w:val="center"/>
              <w:rPr>
                <w:rFonts w:eastAsia="Times New Roman"/>
                <w:b/>
                <w:sz w:val="24"/>
                <w:szCs w:val="24"/>
                <w:lang w:val="vi-VN"/>
              </w:rPr>
            </w:pPr>
            <w:r w:rsidRPr="00050BE6">
              <w:rPr>
                <w:rFonts w:eastAsia="Times New Roman"/>
                <w:b/>
                <w:sz w:val="24"/>
                <w:szCs w:val="24"/>
                <w:lang w:val="vi-VN"/>
              </w:rPr>
              <w:t>2020</w:t>
            </w:r>
            <w:r w:rsidRPr="00050BE6">
              <w:rPr>
                <w:rFonts w:eastAsia="Times New Roman"/>
                <w:b/>
                <w:sz w:val="24"/>
                <w:szCs w:val="24"/>
                <w:lang w:val="vi-VN"/>
              </w:rPr>
              <w:br/>
              <w:t>(Ước tính)</w:t>
            </w:r>
          </w:p>
        </w:tc>
      </w:tr>
      <w:bookmarkEnd w:id="5"/>
      <w:tr w:rsidR="00050BE6" w:rsidRPr="00050BE6" w14:paraId="18BB4563" w14:textId="77777777" w:rsidTr="009957D2">
        <w:trPr>
          <w:trHeight w:val="300"/>
          <w:jc w:val="center"/>
        </w:trPr>
        <w:tc>
          <w:tcPr>
            <w:tcW w:w="920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6714818F" w14:textId="77777777" w:rsidR="00050BE6" w:rsidRPr="00050BE6" w:rsidRDefault="00050BE6" w:rsidP="00750E11">
            <w:pPr>
              <w:widowControl w:val="0"/>
              <w:tabs>
                <w:tab w:val="left" w:pos="993"/>
              </w:tabs>
              <w:autoSpaceDE w:val="0"/>
              <w:autoSpaceDN w:val="0"/>
              <w:spacing w:before="60" w:after="60"/>
              <w:ind w:left="114" w:right="114" w:firstLine="0"/>
              <w:rPr>
                <w:rFonts w:eastAsia="Times New Roman"/>
                <w:sz w:val="24"/>
                <w:szCs w:val="24"/>
                <w:lang w:val="vi-VN"/>
              </w:rPr>
            </w:pPr>
            <w:r w:rsidRPr="00050BE6">
              <w:rPr>
                <w:rFonts w:eastAsia="Times New Roman"/>
                <w:b/>
                <w:sz w:val="24"/>
                <w:szCs w:val="24"/>
                <w:lang w:val="vi-VN"/>
              </w:rPr>
              <w:t>Số lượng doanh nghiệp</w:t>
            </w:r>
          </w:p>
        </w:tc>
      </w:tr>
      <w:tr w:rsidR="00050BE6" w:rsidRPr="00050BE6" w14:paraId="04B5D527" w14:textId="77777777" w:rsidTr="009957D2">
        <w:trPr>
          <w:trHeight w:val="599"/>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636192CC" w14:textId="77777777" w:rsidR="00050BE6" w:rsidRPr="00050BE6" w:rsidRDefault="00050BE6" w:rsidP="00750E11">
            <w:pPr>
              <w:widowControl w:val="0"/>
              <w:tabs>
                <w:tab w:val="left" w:pos="993"/>
              </w:tabs>
              <w:autoSpaceDE w:val="0"/>
              <w:autoSpaceDN w:val="0"/>
              <w:spacing w:before="60" w:after="60"/>
              <w:ind w:left="114" w:right="114" w:firstLine="0"/>
              <w:rPr>
                <w:rFonts w:eastAsia="Times New Roman"/>
                <w:sz w:val="24"/>
                <w:szCs w:val="24"/>
                <w:lang w:val="vi-VN"/>
              </w:rPr>
            </w:pPr>
            <w:r w:rsidRPr="00050BE6">
              <w:rPr>
                <w:rFonts w:eastAsia="Times New Roman"/>
                <w:sz w:val="24"/>
                <w:szCs w:val="24"/>
                <w:lang w:val="vi-VN"/>
              </w:rPr>
              <w:t>Doanh nghiệp phần cứng,</w:t>
            </w:r>
            <w:r w:rsidRPr="00050BE6">
              <w:rPr>
                <w:rFonts w:eastAsia="Times New Roman"/>
                <w:sz w:val="24"/>
                <w:szCs w:val="24"/>
              </w:rPr>
              <w:t xml:space="preserve"> </w:t>
            </w:r>
            <w:r w:rsidRPr="00050BE6">
              <w:rPr>
                <w:rFonts w:eastAsia="Times New Roman"/>
                <w:sz w:val="24"/>
                <w:szCs w:val="24"/>
                <w:lang w:val="vi-VN"/>
              </w:rPr>
              <w:t>điện tử</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497FEA"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Doanh</w:t>
            </w:r>
          </w:p>
          <w:p w14:paraId="6BBD0BBF"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nghiệp</w:t>
            </w:r>
          </w:p>
        </w:tc>
        <w:tc>
          <w:tcPr>
            <w:tcW w:w="852" w:type="dxa"/>
            <w:tcBorders>
              <w:top w:val="single" w:sz="4" w:space="0" w:color="auto"/>
              <w:left w:val="single" w:sz="4" w:space="0" w:color="auto"/>
              <w:bottom w:val="single" w:sz="4" w:space="0" w:color="auto"/>
              <w:right w:val="single" w:sz="4" w:space="0" w:color="auto"/>
            </w:tcBorders>
            <w:vAlign w:val="center"/>
            <w:hideMark/>
          </w:tcPr>
          <w:p w14:paraId="4E789320"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3.404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B10C78"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4.001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3802E7"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4.745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D4314F"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5.365</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F7488EE"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5.926</w:t>
            </w:r>
          </w:p>
        </w:tc>
      </w:tr>
      <w:tr w:rsidR="00050BE6" w:rsidRPr="00050BE6" w14:paraId="4A43599C" w14:textId="77777777" w:rsidTr="009957D2">
        <w:trPr>
          <w:trHeight w:val="597"/>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4EBEDF9B" w14:textId="77777777" w:rsidR="00050BE6" w:rsidRPr="00050BE6" w:rsidRDefault="00050BE6" w:rsidP="00750E11">
            <w:pPr>
              <w:widowControl w:val="0"/>
              <w:tabs>
                <w:tab w:val="left" w:pos="993"/>
              </w:tabs>
              <w:autoSpaceDE w:val="0"/>
              <w:autoSpaceDN w:val="0"/>
              <w:spacing w:before="60" w:after="60"/>
              <w:ind w:left="114" w:right="114" w:firstLine="0"/>
              <w:rPr>
                <w:rFonts w:eastAsia="Times New Roman"/>
                <w:sz w:val="24"/>
                <w:szCs w:val="24"/>
                <w:lang w:val="vi-VN"/>
              </w:rPr>
            </w:pPr>
            <w:r w:rsidRPr="00050BE6">
              <w:rPr>
                <w:rFonts w:eastAsia="Times New Roman"/>
                <w:sz w:val="24"/>
                <w:szCs w:val="24"/>
                <w:lang w:val="vi-VN"/>
              </w:rPr>
              <w:t>Doanh nghiệp phần mềm</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951E1F"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Doanh</w:t>
            </w:r>
          </w:p>
          <w:p w14:paraId="72B13272"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nghiệp</w:t>
            </w:r>
          </w:p>
        </w:tc>
        <w:tc>
          <w:tcPr>
            <w:tcW w:w="852" w:type="dxa"/>
            <w:tcBorders>
              <w:top w:val="single" w:sz="4" w:space="0" w:color="auto"/>
              <w:left w:val="single" w:sz="4" w:space="0" w:color="auto"/>
              <w:bottom w:val="single" w:sz="4" w:space="0" w:color="auto"/>
              <w:right w:val="single" w:sz="4" w:space="0" w:color="auto"/>
            </w:tcBorders>
            <w:vAlign w:val="center"/>
            <w:hideMark/>
          </w:tcPr>
          <w:p w14:paraId="12E93F8B"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7.433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37825A"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8.883</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907BC9"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11.919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E96D44"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12.423</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C1199B9"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13.340</w:t>
            </w:r>
          </w:p>
        </w:tc>
      </w:tr>
      <w:tr w:rsidR="00050BE6" w:rsidRPr="00050BE6" w14:paraId="4B3437B7" w14:textId="77777777" w:rsidTr="009957D2">
        <w:trPr>
          <w:trHeight w:val="597"/>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14D1A099" w14:textId="77777777" w:rsidR="00050BE6" w:rsidRPr="00050BE6" w:rsidRDefault="00050BE6" w:rsidP="00750E11">
            <w:pPr>
              <w:widowControl w:val="0"/>
              <w:tabs>
                <w:tab w:val="left" w:pos="993"/>
              </w:tabs>
              <w:autoSpaceDE w:val="0"/>
              <w:autoSpaceDN w:val="0"/>
              <w:spacing w:before="60" w:after="60"/>
              <w:ind w:left="114" w:right="114" w:firstLine="0"/>
              <w:rPr>
                <w:rFonts w:eastAsia="Times New Roman"/>
                <w:sz w:val="24"/>
                <w:szCs w:val="24"/>
                <w:lang w:val="vi-VN"/>
              </w:rPr>
            </w:pPr>
            <w:r w:rsidRPr="00050BE6">
              <w:rPr>
                <w:rFonts w:eastAsia="Times New Roman"/>
                <w:sz w:val="24"/>
                <w:szCs w:val="24"/>
                <w:lang w:val="vi-VN"/>
              </w:rPr>
              <w:t>Doanh nghiệp nội dung số</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0AC8C6"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Doanh</w:t>
            </w:r>
          </w:p>
          <w:p w14:paraId="3DC540CD"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nghiệp</w:t>
            </w:r>
          </w:p>
        </w:tc>
        <w:tc>
          <w:tcPr>
            <w:tcW w:w="852" w:type="dxa"/>
            <w:tcBorders>
              <w:top w:val="single" w:sz="4" w:space="0" w:color="auto"/>
              <w:left w:val="single" w:sz="4" w:space="0" w:color="auto"/>
              <w:bottom w:val="single" w:sz="4" w:space="0" w:color="auto"/>
              <w:right w:val="single" w:sz="4" w:space="0" w:color="auto"/>
            </w:tcBorders>
            <w:vAlign w:val="center"/>
            <w:hideMark/>
          </w:tcPr>
          <w:p w14:paraId="5353CF63"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2.700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47FDC7"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3.202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DF9BF3"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3.561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6E9F42"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3.982</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0E0629E"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4.596</w:t>
            </w:r>
          </w:p>
        </w:tc>
      </w:tr>
      <w:tr w:rsidR="00050BE6" w:rsidRPr="00050BE6" w14:paraId="50416629" w14:textId="77777777" w:rsidTr="009957D2">
        <w:trPr>
          <w:trHeight w:val="600"/>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2D4A4C09" w14:textId="77777777" w:rsidR="00050BE6" w:rsidRPr="00050BE6" w:rsidRDefault="00050BE6" w:rsidP="00750E11">
            <w:pPr>
              <w:widowControl w:val="0"/>
              <w:tabs>
                <w:tab w:val="left" w:pos="993"/>
              </w:tabs>
              <w:autoSpaceDE w:val="0"/>
              <w:autoSpaceDN w:val="0"/>
              <w:spacing w:before="60" w:after="60"/>
              <w:ind w:left="114" w:right="114" w:firstLine="0"/>
              <w:rPr>
                <w:rFonts w:eastAsia="Times New Roman"/>
                <w:sz w:val="24"/>
                <w:szCs w:val="24"/>
                <w:lang w:val="vi-VN"/>
              </w:rPr>
            </w:pPr>
            <w:r w:rsidRPr="00050BE6">
              <w:rPr>
                <w:rFonts w:eastAsia="Times New Roman"/>
                <w:sz w:val="24"/>
                <w:szCs w:val="24"/>
                <w:lang w:val="vi-VN"/>
              </w:rPr>
              <w:t>Doanh nghiệp dịch vụ CNTT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53C5F8"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Doanh</w:t>
            </w:r>
          </w:p>
          <w:p w14:paraId="26DE86A0"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nghiệp</w:t>
            </w:r>
          </w:p>
        </w:tc>
        <w:tc>
          <w:tcPr>
            <w:tcW w:w="852" w:type="dxa"/>
            <w:tcBorders>
              <w:top w:val="single" w:sz="4" w:space="0" w:color="auto"/>
              <w:left w:val="single" w:sz="4" w:space="0" w:color="auto"/>
              <w:bottom w:val="single" w:sz="4" w:space="0" w:color="auto"/>
              <w:right w:val="single" w:sz="4" w:space="0" w:color="auto"/>
            </w:tcBorders>
            <w:vAlign w:val="center"/>
            <w:hideMark/>
          </w:tcPr>
          <w:p w14:paraId="41DF5F33"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10.965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53EE69"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12.338</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EE0589"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19.059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575F56"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20.366</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3F16F23"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20.670</w:t>
            </w:r>
          </w:p>
        </w:tc>
      </w:tr>
      <w:tr w:rsidR="00050BE6" w:rsidRPr="00050BE6" w14:paraId="5F563AB7" w14:textId="77777777" w:rsidTr="009957D2">
        <w:trPr>
          <w:trHeight w:val="597"/>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77F90191" w14:textId="77777777" w:rsidR="00050BE6" w:rsidRPr="00050BE6" w:rsidRDefault="00050BE6" w:rsidP="00750E11">
            <w:pPr>
              <w:widowControl w:val="0"/>
              <w:tabs>
                <w:tab w:val="left" w:pos="993"/>
              </w:tabs>
              <w:autoSpaceDE w:val="0"/>
              <w:autoSpaceDN w:val="0"/>
              <w:spacing w:before="60" w:after="60"/>
              <w:ind w:left="114" w:right="114" w:firstLine="0"/>
              <w:rPr>
                <w:rFonts w:eastAsia="Times New Roman"/>
                <w:sz w:val="24"/>
                <w:szCs w:val="24"/>
                <w:lang w:val="vi-VN"/>
              </w:rPr>
            </w:pPr>
            <w:r w:rsidRPr="00050BE6">
              <w:rPr>
                <w:rFonts w:eastAsia="Times New Roman"/>
                <w:sz w:val="24"/>
                <w:szCs w:val="24"/>
                <w:lang w:val="vi-VN"/>
              </w:rPr>
              <w:lastRenderedPageBreak/>
              <w:t>Tổng số doanh nghiệp</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BE0D3D"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Doanh</w:t>
            </w:r>
          </w:p>
          <w:p w14:paraId="640EB6D9"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nghiệp</w:t>
            </w:r>
          </w:p>
        </w:tc>
        <w:tc>
          <w:tcPr>
            <w:tcW w:w="852" w:type="dxa"/>
            <w:tcBorders>
              <w:top w:val="single" w:sz="4" w:space="0" w:color="auto"/>
              <w:left w:val="single" w:sz="4" w:space="0" w:color="auto"/>
              <w:bottom w:val="single" w:sz="4" w:space="0" w:color="auto"/>
              <w:right w:val="single" w:sz="4" w:space="0" w:color="auto"/>
            </w:tcBorders>
            <w:vAlign w:val="center"/>
            <w:hideMark/>
          </w:tcPr>
          <w:p w14:paraId="23898CEF"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24.502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F06817"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28.424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D62E33"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39.284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B7071D"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42.136</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E9899EF"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44.532</w:t>
            </w:r>
          </w:p>
        </w:tc>
      </w:tr>
      <w:tr w:rsidR="00050BE6" w:rsidRPr="00050BE6" w14:paraId="413BBE91" w14:textId="77777777" w:rsidTr="009957D2">
        <w:trPr>
          <w:trHeight w:val="597"/>
          <w:jc w:val="center"/>
        </w:trPr>
        <w:tc>
          <w:tcPr>
            <w:tcW w:w="920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0A1776F8" w14:textId="674BBABE" w:rsidR="00050BE6" w:rsidRPr="00050BE6" w:rsidRDefault="00050BE6" w:rsidP="00750E11">
            <w:pPr>
              <w:widowControl w:val="0"/>
              <w:tabs>
                <w:tab w:val="left" w:pos="993"/>
              </w:tabs>
              <w:autoSpaceDE w:val="0"/>
              <w:autoSpaceDN w:val="0"/>
              <w:spacing w:before="60" w:after="60"/>
              <w:ind w:left="114" w:right="114" w:firstLine="0"/>
              <w:rPr>
                <w:rFonts w:eastAsia="Times New Roman"/>
                <w:sz w:val="24"/>
                <w:szCs w:val="24"/>
                <w:lang w:val="vi-VN"/>
              </w:rPr>
            </w:pPr>
            <w:r w:rsidRPr="00050BE6">
              <w:rPr>
                <w:rFonts w:eastAsia="Times New Roman"/>
                <w:b/>
                <w:sz w:val="24"/>
                <w:szCs w:val="24"/>
                <w:lang w:val="vi-VN"/>
              </w:rPr>
              <w:t xml:space="preserve">Lao động lĩnh vực Công nghiệp </w:t>
            </w:r>
            <w:r w:rsidR="00535487">
              <w:rPr>
                <w:rFonts w:eastAsia="Times New Roman"/>
                <w:b/>
                <w:sz w:val="24"/>
                <w:szCs w:val="24"/>
                <w:lang w:val="vi-VN"/>
              </w:rPr>
              <w:t>CNTT</w:t>
            </w:r>
          </w:p>
        </w:tc>
      </w:tr>
      <w:tr w:rsidR="00050BE6" w:rsidRPr="00050BE6" w14:paraId="0D27B308" w14:textId="77777777" w:rsidTr="009957D2">
        <w:trPr>
          <w:trHeight w:val="294"/>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2C0A9C8A" w14:textId="77777777" w:rsidR="00050BE6" w:rsidRPr="00050BE6" w:rsidRDefault="00050BE6" w:rsidP="00750E11">
            <w:pPr>
              <w:widowControl w:val="0"/>
              <w:tabs>
                <w:tab w:val="left" w:pos="993"/>
              </w:tabs>
              <w:autoSpaceDE w:val="0"/>
              <w:autoSpaceDN w:val="0"/>
              <w:spacing w:before="60" w:after="60"/>
              <w:ind w:left="114" w:right="114" w:firstLine="0"/>
              <w:rPr>
                <w:rFonts w:eastAsia="Times New Roman"/>
                <w:sz w:val="24"/>
                <w:szCs w:val="24"/>
                <w:lang w:val="vi-VN"/>
              </w:rPr>
            </w:pPr>
            <w:r w:rsidRPr="00050BE6">
              <w:rPr>
                <w:rFonts w:eastAsia="Times New Roman"/>
                <w:sz w:val="24"/>
                <w:szCs w:val="24"/>
                <w:lang w:val="vi-VN"/>
              </w:rPr>
              <w:t>Tổng số lao động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242822"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Người</w:t>
            </w:r>
          </w:p>
        </w:tc>
        <w:tc>
          <w:tcPr>
            <w:tcW w:w="852" w:type="dxa"/>
            <w:tcBorders>
              <w:top w:val="single" w:sz="4" w:space="0" w:color="auto"/>
              <w:left w:val="single" w:sz="4" w:space="0" w:color="auto"/>
              <w:bottom w:val="single" w:sz="4" w:space="0" w:color="auto"/>
              <w:right w:val="single" w:sz="4" w:space="0" w:color="auto"/>
            </w:tcBorders>
            <w:vAlign w:val="center"/>
            <w:hideMark/>
          </w:tcPr>
          <w:p w14:paraId="3C247D90"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780.926</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F1D5A7"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922.521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9E476C"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973.692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26FFAF"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1.005.206</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82BA363"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1.030.000</w:t>
            </w:r>
          </w:p>
        </w:tc>
      </w:tr>
      <w:tr w:rsidR="00050BE6" w:rsidRPr="00050BE6" w14:paraId="4BBE75AE" w14:textId="77777777" w:rsidTr="009957D2">
        <w:trPr>
          <w:trHeight w:val="299"/>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470BF7DF" w14:textId="77777777" w:rsidR="00050BE6" w:rsidRPr="00050BE6" w:rsidRDefault="00050BE6" w:rsidP="00750E11">
            <w:pPr>
              <w:widowControl w:val="0"/>
              <w:tabs>
                <w:tab w:val="left" w:pos="993"/>
              </w:tabs>
              <w:autoSpaceDE w:val="0"/>
              <w:autoSpaceDN w:val="0"/>
              <w:spacing w:before="60" w:after="60"/>
              <w:ind w:left="114" w:right="114" w:firstLine="0"/>
              <w:rPr>
                <w:rFonts w:eastAsia="Times New Roman"/>
                <w:sz w:val="24"/>
                <w:szCs w:val="24"/>
              </w:rPr>
            </w:pPr>
            <w:r w:rsidRPr="00050BE6">
              <w:rPr>
                <w:rFonts w:eastAsia="Times New Roman"/>
                <w:sz w:val="24"/>
                <w:szCs w:val="24"/>
                <w:lang w:val="vi-VN"/>
              </w:rPr>
              <w:t>Công nghiệp phần cứng, điện</w:t>
            </w:r>
            <w:r w:rsidRPr="00050BE6">
              <w:rPr>
                <w:rFonts w:eastAsia="Times New Roman"/>
                <w:sz w:val="24"/>
                <w:szCs w:val="24"/>
              </w:rPr>
              <w:t xml:space="preserve"> tử</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31082B"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Người</w:t>
            </w:r>
          </w:p>
        </w:tc>
        <w:tc>
          <w:tcPr>
            <w:tcW w:w="852" w:type="dxa"/>
            <w:tcBorders>
              <w:top w:val="single" w:sz="4" w:space="0" w:color="auto"/>
              <w:left w:val="single" w:sz="4" w:space="0" w:color="auto"/>
              <w:bottom w:val="single" w:sz="4" w:space="0" w:color="auto"/>
              <w:right w:val="single" w:sz="4" w:space="0" w:color="auto"/>
            </w:tcBorders>
            <w:vAlign w:val="center"/>
            <w:hideMark/>
          </w:tcPr>
          <w:p w14:paraId="41133183"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568.288</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5F4AE7"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678.917</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C9515E"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717.955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4347A2"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760.097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81FEC72"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761.338</w:t>
            </w:r>
          </w:p>
        </w:tc>
      </w:tr>
      <w:tr w:rsidR="00050BE6" w:rsidRPr="00050BE6" w14:paraId="4E967EEE" w14:textId="77777777" w:rsidTr="009957D2">
        <w:trPr>
          <w:trHeight w:val="299"/>
          <w:jc w:val="center"/>
        </w:trPr>
        <w:tc>
          <w:tcPr>
            <w:tcW w:w="3539" w:type="dxa"/>
            <w:tcBorders>
              <w:top w:val="single" w:sz="4" w:space="0" w:color="auto"/>
              <w:left w:val="single" w:sz="4" w:space="0" w:color="auto"/>
              <w:bottom w:val="single" w:sz="4" w:space="0" w:color="auto"/>
              <w:right w:val="single" w:sz="4" w:space="0" w:color="auto"/>
            </w:tcBorders>
            <w:hideMark/>
          </w:tcPr>
          <w:p w14:paraId="64B56AC0" w14:textId="77777777" w:rsidR="00050BE6" w:rsidRPr="00050BE6" w:rsidRDefault="00050BE6" w:rsidP="00750E11">
            <w:pPr>
              <w:widowControl w:val="0"/>
              <w:tabs>
                <w:tab w:val="left" w:pos="993"/>
              </w:tabs>
              <w:autoSpaceDE w:val="0"/>
              <w:autoSpaceDN w:val="0"/>
              <w:spacing w:before="60" w:after="60"/>
              <w:ind w:left="114" w:right="114" w:firstLine="0"/>
              <w:rPr>
                <w:rFonts w:eastAsia="Times New Roman"/>
                <w:sz w:val="24"/>
                <w:szCs w:val="24"/>
                <w:lang w:val="vi-VN"/>
              </w:rPr>
            </w:pPr>
            <w:r w:rsidRPr="00050BE6">
              <w:rPr>
                <w:rFonts w:eastAsia="Times New Roman"/>
                <w:sz w:val="24"/>
                <w:szCs w:val="24"/>
                <w:lang w:val="vi-VN"/>
              </w:rPr>
              <w:t>Công nghiệp phần mềm</w:t>
            </w:r>
          </w:p>
        </w:tc>
        <w:tc>
          <w:tcPr>
            <w:tcW w:w="850" w:type="dxa"/>
            <w:tcBorders>
              <w:top w:val="single" w:sz="4" w:space="0" w:color="auto"/>
              <w:left w:val="single" w:sz="4" w:space="0" w:color="auto"/>
              <w:bottom w:val="single" w:sz="4" w:space="0" w:color="auto"/>
              <w:right w:val="single" w:sz="4" w:space="0" w:color="auto"/>
            </w:tcBorders>
            <w:hideMark/>
          </w:tcPr>
          <w:p w14:paraId="1ECD4016"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Người</w:t>
            </w:r>
          </w:p>
        </w:tc>
        <w:tc>
          <w:tcPr>
            <w:tcW w:w="852" w:type="dxa"/>
            <w:tcBorders>
              <w:top w:val="single" w:sz="4" w:space="0" w:color="auto"/>
              <w:left w:val="single" w:sz="4" w:space="0" w:color="auto"/>
              <w:bottom w:val="single" w:sz="4" w:space="0" w:color="auto"/>
              <w:right w:val="single" w:sz="4" w:space="0" w:color="auto"/>
            </w:tcBorders>
            <w:hideMark/>
          </w:tcPr>
          <w:p w14:paraId="43205AE4"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97.387</w:t>
            </w:r>
          </w:p>
        </w:tc>
        <w:tc>
          <w:tcPr>
            <w:tcW w:w="850" w:type="dxa"/>
            <w:tcBorders>
              <w:top w:val="single" w:sz="4" w:space="0" w:color="auto"/>
              <w:left w:val="single" w:sz="4" w:space="0" w:color="auto"/>
              <w:bottom w:val="single" w:sz="4" w:space="0" w:color="auto"/>
              <w:right w:val="single" w:sz="4" w:space="0" w:color="auto"/>
            </w:tcBorders>
            <w:hideMark/>
          </w:tcPr>
          <w:p w14:paraId="4B4BC0EF"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112.004</w:t>
            </w:r>
          </w:p>
        </w:tc>
        <w:tc>
          <w:tcPr>
            <w:tcW w:w="851" w:type="dxa"/>
            <w:tcBorders>
              <w:top w:val="single" w:sz="4" w:space="0" w:color="auto"/>
              <w:left w:val="single" w:sz="4" w:space="0" w:color="auto"/>
              <w:bottom w:val="single" w:sz="4" w:space="0" w:color="auto"/>
              <w:right w:val="single" w:sz="4" w:space="0" w:color="auto"/>
            </w:tcBorders>
            <w:hideMark/>
          </w:tcPr>
          <w:p w14:paraId="34355E14"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127.366</w:t>
            </w:r>
          </w:p>
        </w:tc>
        <w:tc>
          <w:tcPr>
            <w:tcW w:w="1134" w:type="dxa"/>
            <w:tcBorders>
              <w:top w:val="single" w:sz="4" w:space="0" w:color="auto"/>
              <w:left w:val="single" w:sz="4" w:space="0" w:color="auto"/>
              <w:bottom w:val="single" w:sz="4" w:space="0" w:color="auto"/>
              <w:right w:val="single" w:sz="4" w:space="0" w:color="auto"/>
            </w:tcBorders>
            <w:hideMark/>
          </w:tcPr>
          <w:p w14:paraId="7E66E327"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143.149</w:t>
            </w:r>
          </w:p>
        </w:tc>
        <w:tc>
          <w:tcPr>
            <w:tcW w:w="1133" w:type="dxa"/>
            <w:tcBorders>
              <w:top w:val="single" w:sz="4" w:space="0" w:color="auto"/>
              <w:left w:val="single" w:sz="4" w:space="0" w:color="auto"/>
              <w:bottom w:val="single" w:sz="4" w:space="0" w:color="auto"/>
              <w:right w:val="single" w:sz="4" w:space="0" w:color="auto"/>
            </w:tcBorders>
            <w:hideMark/>
          </w:tcPr>
          <w:p w14:paraId="4C2550B8"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130.213</w:t>
            </w:r>
          </w:p>
        </w:tc>
      </w:tr>
      <w:tr w:rsidR="00050BE6" w:rsidRPr="00050BE6" w14:paraId="75873592" w14:textId="77777777" w:rsidTr="009957D2">
        <w:trPr>
          <w:trHeight w:val="299"/>
          <w:jc w:val="center"/>
        </w:trPr>
        <w:tc>
          <w:tcPr>
            <w:tcW w:w="3539" w:type="dxa"/>
            <w:tcBorders>
              <w:top w:val="single" w:sz="4" w:space="0" w:color="auto"/>
              <w:left w:val="single" w:sz="4" w:space="0" w:color="auto"/>
              <w:bottom w:val="single" w:sz="4" w:space="0" w:color="auto"/>
              <w:right w:val="single" w:sz="4" w:space="0" w:color="auto"/>
            </w:tcBorders>
            <w:hideMark/>
          </w:tcPr>
          <w:p w14:paraId="7E90535D" w14:textId="77777777" w:rsidR="00050BE6" w:rsidRPr="00050BE6" w:rsidRDefault="00050BE6" w:rsidP="00750E11">
            <w:pPr>
              <w:widowControl w:val="0"/>
              <w:tabs>
                <w:tab w:val="left" w:pos="993"/>
              </w:tabs>
              <w:autoSpaceDE w:val="0"/>
              <w:autoSpaceDN w:val="0"/>
              <w:spacing w:before="60" w:after="60"/>
              <w:ind w:left="114" w:right="114" w:firstLine="0"/>
              <w:rPr>
                <w:rFonts w:eastAsia="Times New Roman"/>
                <w:sz w:val="24"/>
                <w:szCs w:val="24"/>
                <w:lang w:val="vi-VN"/>
              </w:rPr>
            </w:pPr>
            <w:r w:rsidRPr="00050BE6">
              <w:rPr>
                <w:rFonts w:eastAsia="Times New Roman"/>
                <w:sz w:val="24"/>
                <w:szCs w:val="24"/>
                <w:lang w:val="vi-VN"/>
              </w:rPr>
              <w:t>Công nghiệp nội dung số</w:t>
            </w:r>
          </w:p>
        </w:tc>
        <w:tc>
          <w:tcPr>
            <w:tcW w:w="850" w:type="dxa"/>
            <w:tcBorders>
              <w:top w:val="single" w:sz="4" w:space="0" w:color="auto"/>
              <w:left w:val="single" w:sz="4" w:space="0" w:color="auto"/>
              <w:bottom w:val="single" w:sz="4" w:space="0" w:color="auto"/>
              <w:right w:val="single" w:sz="4" w:space="0" w:color="auto"/>
            </w:tcBorders>
            <w:hideMark/>
          </w:tcPr>
          <w:p w14:paraId="01DB0E00"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Người</w:t>
            </w:r>
          </w:p>
        </w:tc>
        <w:tc>
          <w:tcPr>
            <w:tcW w:w="852" w:type="dxa"/>
            <w:tcBorders>
              <w:top w:val="single" w:sz="4" w:space="0" w:color="auto"/>
              <w:left w:val="single" w:sz="4" w:space="0" w:color="auto"/>
              <w:bottom w:val="single" w:sz="4" w:space="0" w:color="auto"/>
              <w:right w:val="single" w:sz="4" w:space="0" w:color="auto"/>
            </w:tcBorders>
            <w:hideMark/>
          </w:tcPr>
          <w:p w14:paraId="4BB4C92D"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46.646</w:t>
            </w:r>
          </w:p>
        </w:tc>
        <w:tc>
          <w:tcPr>
            <w:tcW w:w="850" w:type="dxa"/>
            <w:tcBorders>
              <w:top w:val="single" w:sz="4" w:space="0" w:color="auto"/>
              <w:left w:val="single" w:sz="4" w:space="0" w:color="auto"/>
              <w:bottom w:val="single" w:sz="4" w:space="0" w:color="auto"/>
              <w:right w:val="single" w:sz="4" w:space="0" w:color="auto"/>
            </w:tcBorders>
            <w:hideMark/>
          </w:tcPr>
          <w:p w14:paraId="71969F82"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55.908</w:t>
            </w:r>
          </w:p>
        </w:tc>
        <w:tc>
          <w:tcPr>
            <w:tcW w:w="851" w:type="dxa"/>
            <w:tcBorders>
              <w:top w:val="single" w:sz="4" w:space="0" w:color="auto"/>
              <w:left w:val="single" w:sz="4" w:space="0" w:color="auto"/>
              <w:bottom w:val="single" w:sz="4" w:space="0" w:color="auto"/>
              <w:right w:val="single" w:sz="4" w:space="0" w:color="auto"/>
            </w:tcBorders>
            <w:hideMark/>
          </w:tcPr>
          <w:p w14:paraId="3A723F1B"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51.952</w:t>
            </w:r>
          </w:p>
        </w:tc>
        <w:tc>
          <w:tcPr>
            <w:tcW w:w="1134" w:type="dxa"/>
            <w:tcBorders>
              <w:top w:val="single" w:sz="4" w:space="0" w:color="auto"/>
              <w:left w:val="single" w:sz="4" w:space="0" w:color="auto"/>
              <w:bottom w:val="single" w:sz="4" w:space="0" w:color="auto"/>
              <w:right w:val="single" w:sz="4" w:space="0" w:color="auto"/>
            </w:tcBorders>
            <w:hideMark/>
          </w:tcPr>
          <w:p w14:paraId="4BEBB278"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42.479</w:t>
            </w:r>
          </w:p>
        </w:tc>
        <w:tc>
          <w:tcPr>
            <w:tcW w:w="1133" w:type="dxa"/>
            <w:tcBorders>
              <w:top w:val="single" w:sz="4" w:space="0" w:color="auto"/>
              <w:left w:val="single" w:sz="4" w:space="0" w:color="auto"/>
              <w:bottom w:val="single" w:sz="4" w:space="0" w:color="auto"/>
              <w:right w:val="single" w:sz="4" w:space="0" w:color="auto"/>
            </w:tcBorders>
            <w:hideMark/>
          </w:tcPr>
          <w:p w14:paraId="2C2A8042"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57.138</w:t>
            </w:r>
          </w:p>
        </w:tc>
      </w:tr>
      <w:tr w:rsidR="00050BE6" w:rsidRPr="00050BE6" w14:paraId="49021EFA" w14:textId="77777777" w:rsidTr="009957D2">
        <w:trPr>
          <w:trHeight w:val="299"/>
          <w:jc w:val="center"/>
        </w:trPr>
        <w:tc>
          <w:tcPr>
            <w:tcW w:w="3539" w:type="dxa"/>
            <w:tcBorders>
              <w:top w:val="single" w:sz="4" w:space="0" w:color="auto"/>
              <w:left w:val="single" w:sz="4" w:space="0" w:color="auto"/>
              <w:bottom w:val="single" w:sz="4" w:space="0" w:color="auto"/>
              <w:right w:val="single" w:sz="4" w:space="0" w:color="auto"/>
            </w:tcBorders>
            <w:hideMark/>
          </w:tcPr>
          <w:p w14:paraId="5F1F1AD2" w14:textId="77777777" w:rsidR="00050BE6" w:rsidRPr="00050BE6" w:rsidRDefault="00050BE6" w:rsidP="00750E11">
            <w:pPr>
              <w:widowControl w:val="0"/>
              <w:tabs>
                <w:tab w:val="left" w:pos="993"/>
              </w:tabs>
              <w:autoSpaceDE w:val="0"/>
              <w:autoSpaceDN w:val="0"/>
              <w:spacing w:after="0"/>
              <w:ind w:left="114" w:right="114" w:firstLine="0"/>
              <w:rPr>
                <w:rFonts w:eastAsia="Times New Roman"/>
                <w:sz w:val="24"/>
                <w:szCs w:val="24"/>
                <w:lang w:val="vi-VN"/>
              </w:rPr>
            </w:pPr>
            <w:r w:rsidRPr="00050BE6">
              <w:rPr>
                <w:rFonts w:eastAsia="Times New Roman"/>
                <w:sz w:val="24"/>
                <w:szCs w:val="24"/>
                <w:lang w:val="vi-VN"/>
              </w:rPr>
              <w:t>Công nghiệp dịch vụ CNTT</w:t>
            </w:r>
            <w:r w:rsidRPr="00050BE6">
              <w:rPr>
                <w:rFonts w:eastAsia="Times New Roman"/>
                <w:sz w:val="24"/>
                <w:szCs w:val="24"/>
              </w:rPr>
              <w:t xml:space="preserve"> </w:t>
            </w:r>
            <w:r w:rsidRPr="00050BE6">
              <w:rPr>
                <w:rFonts w:eastAsia="Times New Roman"/>
                <w:sz w:val="24"/>
                <w:szCs w:val="24"/>
                <w:lang w:val="vi-VN"/>
              </w:rPr>
              <w:t>(trừ buôn bán, phân phối)</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54E300"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Người</w:t>
            </w:r>
          </w:p>
        </w:tc>
        <w:tc>
          <w:tcPr>
            <w:tcW w:w="852" w:type="dxa"/>
            <w:tcBorders>
              <w:top w:val="single" w:sz="4" w:space="0" w:color="auto"/>
              <w:left w:val="single" w:sz="4" w:space="0" w:color="auto"/>
              <w:bottom w:val="single" w:sz="4" w:space="0" w:color="auto"/>
              <w:right w:val="single" w:sz="4" w:space="0" w:color="auto"/>
            </w:tcBorders>
            <w:vAlign w:val="center"/>
            <w:hideMark/>
          </w:tcPr>
          <w:p w14:paraId="1E954261"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68.605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2052BC"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75.692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12EBC8"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76.419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EC50AA"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59.481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ADF7115" w14:textId="77777777" w:rsidR="00050BE6" w:rsidRPr="00050BE6" w:rsidRDefault="00050BE6" w:rsidP="00750E11">
            <w:pPr>
              <w:widowControl w:val="0"/>
              <w:tabs>
                <w:tab w:val="left" w:pos="993"/>
              </w:tabs>
              <w:autoSpaceDE w:val="0"/>
              <w:autoSpaceDN w:val="0"/>
              <w:spacing w:before="60" w:after="60"/>
              <w:ind w:firstLine="0"/>
              <w:jc w:val="center"/>
              <w:rPr>
                <w:rFonts w:eastAsia="Times New Roman"/>
                <w:sz w:val="24"/>
                <w:szCs w:val="24"/>
                <w:lang w:val="vi-VN"/>
              </w:rPr>
            </w:pPr>
            <w:r w:rsidRPr="00050BE6">
              <w:rPr>
                <w:rFonts w:eastAsia="Times New Roman"/>
                <w:sz w:val="24"/>
                <w:szCs w:val="24"/>
                <w:lang w:val="vi-VN"/>
              </w:rPr>
              <w:t>81.310</w:t>
            </w:r>
          </w:p>
        </w:tc>
      </w:tr>
    </w:tbl>
    <w:p w14:paraId="716B2952" w14:textId="5F47FDF6" w:rsidR="00050BE6" w:rsidRPr="00050BE6" w:rsidRDefault="00050BE6" w:rsidP="00050BE6">
      <w:pPr>
        <w:tabs>
          <w:tab w:val="left" w:pos="993"/>
        </w:tabs>
        <w:spacing w:after="240"/>
        <w:jc w:val="center"/>
        <w:rPr>
          <w:rFonts w:eastAsia="Times New Roman"/>
          <w:bCs/>
          <w:i/>
          <w:spacing w:val="-6"/>
          <w:sz w:val="24"/>
          <w:szCs w:val="24"/>
        </w:rPr>
      </w:pPr>
      <w:r w:rsidRPr="00050BE6">
        <w:rPr>
          <w:rFonts w:eastAsia="Times New Roman"/>
          <w:bCs/>
          <w:i/>
          <w:spacing w:val="-6"/>
          <w:sz w:val="24"/>
          <w:szCs w:val="24"/>
        </w:rPr>
        <w:t xml:space="preserve">Về doanh nghiệp công nghiệp </w:t>
      </w:r>
      <w:r w:rsidR="00535487">
        <w:rPr>
          <w:rFonts w:eastAsia="Times New Roman"/>
          <w:bCs/>
          <w:i/>
          <w:spacing w:val="-6"/>
          <w:sz w:val="24"/>
          <w:szCs w:val="24"/>
        </w:rPr>
        <w:t>CNTT</w:t>
      </w:r>
      <w:r w:rsidRPr="00050BE6">
        <w:rPr>
          <w:rFonts w:eastAsia="Times New Roman"/>
          <w:bCs/>
          <w:i/>
          <w:spacing w:val="-6"/>
          <w:sz w:val="24"/>
          <w:szCs w:val="24"/>
        </w:rPr>
        <w:t>, doanh nghiệp công nghệ số Việt Nam</w:t>
      </w:r>
    </w:p>
    <w:p w14:paraId="371D1A16" w14:textId="67E6B8A1" w:rsidR="00050BE6" w:rsidRPr="00050BE6" w:rsidRDefault="00B86C89" w:rsidP="00750E11">
      <w:pPr>
        <w:tabs>
          <w:tab w:val="left" w:pos="0"/>
        </w:tabs>
        <w:spacing w:before="210" w:after="240"/>
        <w:rPr>
          <w:rFonts w:eastAsiaTheme="majorEastAsia"/>
          <w:b/>
          <w:lang w:val="vi-VN" w:eastAsia="ja-JP"/>
        </w:rPr>
      </w:pPr>
      <w:r>
        <w:rPr>
          <w:rFonts w:ascii="Tahoma" w:hAnsi="Tahoma" w:cs="Tahoma"/>
          <w:noProof/>
          <w:sz w:val="20"/>
          <w:szCs w:val="20"/>
        </w:rPr>
        <w:drawing>
          <wp:inline distT="0" distB="0" distL="0" distR="0" wp14:anchorId="77A6808E" wp14:editId="7CF404B0">
            <wp:extent cx="4580625" cy="2691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693835"/>
                    </a:xfrm>
                    <a:prstGeom prst="rect">
                      <a:avLst/>
                    </a:prstGeom>
                    <a:noFill/>
                  </pic:spPr>
                </pic:pic>
              </a:graphicData>
            </a:graphic>
          </wp:inline>
        </w:drawing>
      </w:r>
    </w:p>
    <w:p w14:paraId="727E9C06" w14:textId="77777777" w:rsidR="00050BE6" w:rsidRPr="00750E11" w:rsidRDefault="00050BE6" w:rsidP="00050BE6">
      <w:pPr>
        <w:rPr>
          <w:b/>
          <w:lang w:val="vi-VN"/>
        </w:rPr>
      </w:pPr>
      <w:r w:rsidRPr="00750E11">
        <w:rPr>
          <w:b/>
          <w:lang w:val="vi-VN"/>
        </w:rPr>
        <w:t xml:space="preserve">Công nghiệp phần cứng </w:t>
      </w:r>
    </w:p>
    <w:p w14:paraId="7E3490CE" w14:textId="7C2B5BAF" w:rsidR="00050BE6" w:rsidRPr="00750E11" w:rsidRDefault="00050BE6" w:rsidP="00050BE6">
      <w:pPr>
        <w:rPr>
          <w:lang w:val="vi-VN"/>
        </w:rPr>
      </w:pPr>
      <w:r w:rsidRPr="00750E11">
        <w:rPr>
          <w:lang w:val="vi-VN"/>
        </w:rPr>
        <w:t xml:space="preserve">Công nghiệp phần cứng, điện tử viễn thông (bao gồm sản xuất máy tính và linh kiện, thiết bị điện tử viễn thông gồm điện thoại di động và linh kiện) có tốc độ tăng trưởng cao, tính riêng giai đoạn 2015-2020, tăng trưởng trung bình hàng năm đạt khoảng 15,7%, cơ bản đáp ứng được nhu cầu trong nước về các loại sản phẩm điện tử dân dụng, điện lạnh và máy tính. </w:t>
      </w:r>
      <w:r w:rsidR="002E54CC">
        <w:rPr>
          <w:lang w:val="vi-VN"/>
        </w:rPr>
        <w:t>Năm 2020, d</w:t>
      </w:r>
      <w:r w:rsidRPr="00750E11">
        <w:rPr>
          <w:lang w:val="vi-VN"/>
        </w:rPr>
        <w:t xml:space="preserve">oanh thu xuất khẩu sản phẩm phần cứng, điện tử viễn thông (kể cả từ khối FDI của Việt Nam) được xếp vào top 2 thế giới về sản xuất điện thoại di động và linh kiện, top 10 thế giới về </w:t>
      </w:r>
      <w:r w:rsidR="00C663D1">
        <w:rPr>
          <w:lang w:val="vi-VN"/>
        </w:rPr>
        <w:t>xuất khẩu mạch</w:t>
      </w:r>
      <w:r w:rsidRPr="00750E11">
        <w:rPr>
          <w:lang w:val="vi-VN"/>
        </w:rPr>
        <w:t xml:space="preserve"> điện tử và linh kiện</w:t>
      </w:r>
      <w:r w:rsidR="00C663D1">
        <w:rPr>
          <w:lang w:val="vi-VN"/>
        </w:rPr>
        <w:t xml:space="preserve"> và top 12 thế giới về xuất khẩu thiết bị máy tính</w:t>
      </w:r>
      <w:r w:rsidRPr="00750E11">
        <w:rPr>
          <w:lang w:val="vi-VN"/>
        </w:rPr>
        <w:t>. Năm 2020, doanh thu xuất khẩu sản phẩm phần cứng ước đạt trên 95,8 tỷ USD. Các mặt hàng xuất khẩu chủ yếu là sản phẩm máy tính, điện thoại và linh kiện điện tử đã được xuất khẩu tới 35 nước trong khu vực và trên thế giới.</w:t>
      </w:r>
    </w:p>
    <w:p w14:paraId="26694C4D" w14:textId="77777777" w:rsidR="004A7791" w:rsidRDefault="004A7791" w:rsidP="00C663D1">
      <w:pPr>
        <w:spacing w:after="0" w:line="240" w:lineRule="auto"/>
        <w:jc w:val="center"/>
        <w:rPr>
          <w:rFonts w:eastAsia="Times New Roman"/>
          <w:bCs/>
          <w:i/>
          <w:spacing w:val="-6"/>
          <w:sz w:val="24"/>
          <w:szCs w:val="24"/>
          <w:lang w:val="vi-VN"/>
        </w:rPr>
      </w:pPr>
      <w:bookmarkStart w:id="6" w:name="_Toc38632012"/>
      <w:bookmarkStart w:id="7" w:name="_Toc60673559"/>
    </w:p>
    <w:p w14:paraId="5112D915" w14:textId="6B30D55D" w:rsidR="00C663D1" w:rsidRDefault="00050BE6" w:rsidP="00C663D1">
      <w:pPr>
        <w:spacing w:after="0" w:line="240" w:lineRule="auto"/>
        <w:jc w:val="center"/>
        <w:rPr>
          <w:rFonts w:eastAsia="Times New Roman"/>
          <w:bCs/>
          <w:i/>
          <w:spacing w:val="-6"/>
          <w:sz w:val="24"/>
          <w:szCs w:val="24"/>
          <w:lang w:val="vi-VN"/>
        </w:rPr>
      </w:pPr>
      <w:r w:rsidRPr="00750E11">
        <w:rPr>
          <w:rFonts w:eastAsia="Times New Roman"/>
          <w:bCs/>
          <w:i/>
          <w:spacing w:val="-6"/>
          <w:sz w:val="24"/>
          <w:szCs w:val="24"/>
          <w:lang w:val="vi-VN"/>
        </w:rPr>
        <w:t>To</w:t>
      </w:r>
      <w:r w:rsidR="00C663D1">
        <w:rPr>
          <w:rFonts w:eastAsia="Times New Roman"/>
          <w:bCs/>
          <w:i/>
          <w:spacing w:val="-6"/>
          <w:sz w:val="24"/>
          <w:szCs w:val="24"/>
          <w:lang w:val="vi-VN"/>
        </w:rPr>
        <w:t>p 15</w:t>
      </w:r>
      <w:r w:rsidRPr="00750E11">
        <w:rPr>
          <w:rFonts w:eastAsia="Times New Roman"/>
          <w:bCs/>
          <w:i/>
          <w:spacing w:val="-6"/>
          <w:sz w:val="24"/>
          <w:szCs w:val="24"/>
          <w:lang w:val="vi-VN"/>
        </w:rPr>
        <w:t xml:space="preserve"> quốc gia dẫn đầu thế giới về</w:t>
      </w:r>
      <w:r w:rsidR="00C663D1">
        <w:rPr>
          <w:rFonts w:eastAsia="Times New Roman"/>
          <w:bCs/>
          <w:i/>
          <w:spacing w:val="-6"/>
          <w:sz w:val="24"/>
          <w:szCs w:val="24"/>
          <w:lang w:val="vi-VN"/>
        </w:rPr>
        <w:t xml:space="preserve"> xuất khẩu</w:t>
      </w:r>
      <w:r w:rsidRPr="00750E11">
        <w:rPr>
          <w:rFonts w:eastAsia="Times New Roman"/>
          <w:bCs/>
          <w:i/>
          <w:spacing w:val="-6"/>
          <w:sz w:val="24"/>
          <w:szCs w:val="24"/>
          <w:lang w:val="vi-VN"/>
        </w:rPr>
        <w:t xml:space="preserve"> phần cứng, điện tử - viễn thông</w:t>
      </w:r>
      <w:bookmarkEnd w:id="6"/>
      <w:r w:rsidRPr="00750E11">
        <w:rPr>
          <w:rFonts w:eastAsia="Times New Roman"/>
          <w:bCs/>
          <w:i/>
          <w:spacing w:val="-6"/>
          <w:sz w:val="24"/>
          <w:szCs w:val="24"/>
          <w:lang w:val="vi-VN"/>
        </w:rPr>
        <w:t xml:space="preserve"> năm </w:t>
      </w:r>
      <w:r w:rsidR="00C663D1">
        <w:rPr>
          <w:rFonts w:eastAsia="Times New Roman"/>
          <w:bCs/>
          <w:i/>
          <w:spacing w:val="-6"/>
          <w:sz w:val="24"/>
          <w:szCs w:val="24"/>
          <w:lang w:val="vi-VN"/>
        </w:rPr>
        <w:t>2020</w:t>
      </w:r>
    </w:p>
    <w:p w14:paraId="781EEBCD" w14:textId="77777777" w:rsidR="00C663D1" w:rsidRDefault="00C663D1" w:rsidP="00C663D1">
      <w:pPr>
        <w:spacing w:after="0" w:line="240" w:lineRule="auto"/>
        <w:jc w:val="center"/>
        <w:rPr>
          <w:rFonts w:eastAsia="Times New Roman"/>
          <w:bCs/>
          <w:i/>
          <w:spacing w:val="-6"/>
          <w:sz w:val="24"/>
          <w:szCs w:val="24"/>
          <w:lang w:val="vi-VN"/>
        </w:rPr>
      </w:pPr>
    </w:p>
    <w:tbl>
      <w:tblPr>
        <w:tblW w:w="9140" w:type="dxa"/>
        <w:tblInd w:w="113" w:type="dxa"/>
        <w:tblLayout w:type="fixed"/>
        <w:tblLook w:val="04A0" w:firstRow="1" w:lastRow="0" w:firstColumn="1" w:lastColumn="0" w:noHBand="0" w:noVBand="1"/>
      </w:tblPr>
      <w:tblGrid>
        <w:gridCol w:w="380"/>
        <w:gridCol w:w="1440"/>
        <w:gridCol w:w="740"/>
        <w:gridCol w:w="740"/>
        <w:gridCol w:w="1440"/>
        <w:gridCol w:w="740"/>
        <w:gridCol w:w="740"/>
        <w:gridCol w:w="1440"/>
        <w:gridCol w:w="740"/>
        <w:gridCol w:w="740"/>
      </w:tblGrid>
      <w:tr w:rsidR="00C663D1" w:rsidRPr="007A6C10" w14:paraId="6A8E0922" w14:textId="77777777" w:rsidTr="00C663D1">
        <w:trPr>
          <w:trHeight w:val="510"/>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bookmarkEnd w:id="7"/>
          <w:p w14:paraId="589AF3BC" w14:textId="77777777" w:rsidR="00C663D1" w:rsidRPr="00750E11" w:rsidRDefault="00C663D1" w:rsidP="00750E11">
            <w:pPr>
              <w:spacing w:after="0" w:line="240" w:lineRule="auto"/>
              <w:ind w:left="-113" w:firstLine="0"/>
              <w:jc w:val="center"/>
              <w:rPr>
                <w:rFonts w:eastAsia="Times New Roman"/>
                <w:b/>
                <w:color w:val="000000"/>
                <w:sz w:val="20"/>
                <w:szCs w:val="20"/>
                <w:lang w:val="vi-VN" w:eastAsia="vi-VN"/>
              </w:rPr>
            </w:pPr>
            <w:r w:rsidRPr="00750E11">
              <w:rPr>
                <w:rFonts w:eastAsia="Times New Roman"/>
                <w:b/>
                <w:color w:val="000000"/>
                <w:sz w:val="20"/>
                <w:szCs w:val="20"/>
                <w:lang w:val="vi-VN" w:eastAsia="vi-VN"/>
              </w:rPr>
              <w:t>TT</w:t>
            </w:r>
          </w:p>
        </w:tc>
        <w:tc>
          <w:tcPr>
            <w:tcW w:w="2920" w:type="dxa"/>
            <w:gridSpan w:val="3"/>
            <w:tcBorders>
              <w:top w:val="single" w:sz="4" w:space="0" w:color="auto"/>
              <w:left w:val="nil"/>
              <w:bottom w:val="single" w:sz="4" w:space="0" w:color="auto"/>
              <w:right w:val="single" w:sz="4" w:space="0" w:color="auto"/>
            </w:tcBorders>
            <w:shd w:val="clear" w:color="auto" w:fill="auto"/>
            <w:vAlign w:val="center"/>
            <w:hideMark/>
          </w:tcPr>
          <w:p w14:paraId="4B854E8F" w14:textId="4F4B6795" w:rsidR="00C663D1" w:rsidRPr="007A6C10" w:rsidRDefault="007A6C10" w:rsidP="00750E11">
            <w:pPr>
              <w:spacing w:after="0" w:line="240" w:lineRule="auto"/>
              <w:ind w:left="-113" w:firstLine="0"/>
              <w:jc w:val="center"/>
              <w:rPr>
                <w:rFonts w:eastAsia="Times New Roman"/>
                <w:b/>
                <w:bCs/>
                <w:color w:val="000000"/>
                <w:sz w:val="20"/>
                <w:szCs w:val="20"/>
                <w:lang w:val="vi-VN" w:eastAsia="vi-VN"/>
              </w:rPr>
            </w:pPr>
            <w:r w:rsidRPr="007A6C10">
              <w:rPr>
                <w:rFonts w:eastAsia="Times New Roman"/>
                <w:b/>
                <w:bCs/>
                <w:color w:val="000000"/>
                <w:sz w:val="20"/>
                <w:szCs w:val="20"/>
                <w:lang w:val="vi-VN" w:eastAsia="vi-VN"/>
              </w:rPr>
              <w:t>XUẤT KHẨU DIỆN THOẠI DI ĐỘNG VÀ LINH KIỆN</w:t>
            </w:r>
          </w:p>
        </w:tc>
        <w:tc>
          <w:tcPr>
            <w:tcW w:w="2920" w:type="dxa"/>
            <w:gridSpan w:val="3"/>
            <w:tcBorders>
              <w:top w:val="single" w:sz="4" w:space="0" w:color="auto"/>
              <w:left w:val="nil"/>
              <w:bottom w:val="single" w:sz="4" w:space="0" w:color="auto"/>
              <w:right w:val="single" w:sz="4" w:space="0" w:color="auto"/>
            </w:tcBorders>
            <w:shd w:val="clear" w:color="auto" w:fill="auto"/>
            <w:vAlign w:val="center"/>
            <w:hideMark/>
          </w:tcPr>
          <w:p w14:paraId="5423A6EE" w14:textId="76B24A95" w:rsidR="00C663D1" w:rsidRPr="007A6C10" w:rsidRDefault="007A6C10" w:rsidP="00750E11">
            <w:pPr>
              <w:spacing w:after="0" w:line="240" w:lineRule="auto"/>
              <w:ind w:left="-113" w:firstLine="0"/>
              <w:jc w:val="center"/>
              <w:rPr>
                <w:rFonts w:eastAsia="Times New Roman"/>
                <w:b/>
                <w:bCs/>
                <w:color w:val="000000"/>
                <w:sz w:val="20"/>
                <w:szCs w:val="20"/>
                <w:lang w:val="vi-VN" w:eastAsia="vi-VN"/>
              </w:rPr>
            </w:pPr>
            <w:r w:rsidRPr="007A6C10">
              <w:rPr>
                <w:rFonts w:eastAsia="Times New Roman"/>
                <w:b/>
                <w:bCs/>
                <w:color w:val="000000"/>
                <w:sz w:val="20"/>
                <w:szCs w:val="20"/>
                <w:lang w:val="vi-VN" w:eastAsia="vi-VN"/>
              </w:rPr>
              <w:t>XUẤT KHẨU MẠCH ĐIỆN TỬ VÀ LINH KIỆN</w:t>
            </w:r>
          </w:p>
        </w:tc>
        <w:tc>
          <w:tcPr>
            <w:tcW w:w="2920" w:type="dxa"/>
            <w:gridSpan w:val="3"/>
            <w:tcBorders>
              <w:top w:val="single" w:sz="4" w:space="0" w:color="auto"/>
              <w:left w:val="nil"/>
              <w:bottom w:val="single" w:sz="4" w:space="0" w:color="auto"/>
              <w:right w:val="single" w:sz="4" w:space="0" w:color="auto"/>
            </w:tcBorders>
            <w:shd w:val="clear" w:color="auto" w:fill="auto"/>
            <w:vAlign w:val="center"/>
            <w:hideMark/>
          </w:tcPr>
          <w:p w14:paraId="76C7D046" w14:textId="3A5936D7" w:rsidR="00C663D1" w:rsidRPr="007A6C10" w:rsidRDefault="007A6C10" w:rsidP="00750E11">
            <w:pPr>
              <w:spacing w:after="0" w:line="240" w:lineRule="auto"/>
              <w:ind w:left="-113" w:firstLine="0"/>
              <w:jc w:val="center"/>
              <w:rPr>
                <w:rFonts w:eastAsia="Times New Roman"/>
                <w:b/>
                <w:bCs/>
                <w:color w:val="000000"/>
                <w:sz w:val="20"/>
                <w:szCs w:val="20"/>
                <w:lang w:val="vi-VN" w:eastAsia="vi-VN"/>
              </w:rPr>
            </w:pPr>
            <w:r w:rsidRPr="007A6C10">
              <w:rPr>
                <w:rFonts w:eastAsia="Times New Roman"/>
                <w:b/>
                <w:bCs/>
                <w:color w:val="000000"/>
                <w:sz w:val="20"/>
                <w:szCs w:val="20"/>
                <w:lang w:val="vi-VN" w:eastAsia="vi-VN"/>
              </w:rPr>
              <w:t>XUẤT KHẨU THIẾT BỊ MÁY TÍNH</w:t>
            </w:r>
          </w:p>
        </w:tc>
      </w:tr>
      <w:tr w:rsidR="00C663D1" w:rsidRPr="007A6C10" w14:paraId="427B3EA4" w14:textId="77777777" w:rsidTr="00C663D1">
        <w:trPr>
          <w:trHeight w:val="1095"/>
        </w:trPr>
        <w:tc>
          <w:tcPr>
            <w:tcW w:w="380" w:type="dxa"/>
            <w:vMerge/>
            <w:tcBorders>
              <w:top w:val="single" w:sz="4" w:space="0" w:color="auto"/>
              <w:left w:val="single" w:sz="4" w:space="0" w:color="auto"/>
              <w:bottom w:val="single" w:sz="4" w:space="0" w:color="000000"/>
              <w:right w:val="single" w:sz="4" w:space="0" w:color="auto"/>
            </w:tcBorders>
            <w:vAlign w:val="center"/>
            <w:hideMark/>
          </w:tcPr>
          <w:p w14:paraId="6601595B" w14:textId="77777777" w:rsidR="00C663D1" w:rsidRPr="00750E11" w:rsidRDefault="00C663D1" w:rsidP="00750E11">
            <w:pPr>
              <w:spacing w:after="0" w:line="240" w:lineRule="auto"/>
              <w:ind w:left="-113" w:firstLine="0"/>
              <w:rPr>
                <w:rFonts w:eastAsia="Times New Roman"/>
                <w:b/>
                <w:color w:val="000000"/>
                <w:sz w:val="20"/>
                <w:szCs w:val="20"/>
                <w:lang w:val="vi-VN" w:eastAsia="vi-VN"/>
              </w:rPr>
            </w:pPr>
          </w:p>
        </w:tc>
        <w:tc>
          <w:tcPr>
            <w:tcW w:w="1440" w:type="dxa"/>
            <w:tcBorders>
              <w:top w:val="nil"/>
              <w:left w:val="nil"/>
              <w:bottom w:val="single" w:sz="4" w:space="0" w:color="auto"/>
              <w:right w:val="single" w:sz="4" w:space="0" w:color="auto"/>
            </w:tcBorders>
            <w:shd w:val="clear" w:color="auto" w:fill="auto"/>
            <w:vAlign w:val="center"/>
            <w:hideMark/>
          </w:tcPr>
          <w:p w14:paraId="5CCDE980" w14:textId="77777777" w:rsidR="00C663D1" w:rsidRPr="00750E11" w:rsidRDefault="00C663D1" w:rsidP="00750E11">
            <w:pPr>
              <w:spacing w:after="0" w:line="240" w:lineRule="auto"/>
              <w:ind w:left="-113" w:firstLine="0"/>
              <w:jc w:val="center"/>
              <w:rPr>
                <w:rFonts w:eastAsia="Times New Roman"/>
                <w:b/>
                <w:color w:val="000000"/>
                <w:sz w:val="20"/>
                <w:szCs w:val="20"/>
                <w:lang w:val="vi-VN" w:eastAsia="vi-VN"/>
              </w:rPr>
            </w:pPr>
            <w:r w:rsidRPr="00750E11">
              <w:rPr>
                <w:rFonts w:eastAsia="Times New Roman"/>
                <w:b/>
                <w:color w:val="000000"/>
                <w:sz w:val="20"/>
                <w:szCs w:val="20"/>
                <w:lang w:val="vi-VN" w:eastAsia="vi-VN"/>
              </w:rPr>
              <w:t>Quốc gia</w:t>
            </w:r>
          </w:p>
        </w:tc>
        <w:tc>
          <w:tcPr>
            <w:tcW w:w="740" w:type="dxa"/>
            <w:tcBorders>
              <w:top w:val="nil"/>
              <w:left w:val="nil"/>
              <w:bottom w:val="single" w:sz="4" w:space="0" w:color="auto"/>
              <w:right w:val="single" w:sz="4" w:space="0" w:color="auto"/>
            </w:tcBorders>
            <w:shd w:val="clear" w:color="auto" w:fill="auto"/>
            <w:vAlign w:val="center"/>
            <w:hideMark/>
          </w:tcPr>
          <w:p w14:paraId="6283AD7D" w14:textId="77777777" w:rsidR="00C663D1" w:rsidRPr="00750E11" w:rsidRDefault="00C663D1" w:rsidP="00750E11">
            <w:pPr>
              <w:spacing w:after="0" w:line="240" w:lineRule="auto"/>
              <w:ind w:left="-113" w:firstLine="0"/>
              <w:jc w:val="center"/>
              <w:rPr>
                <w:rFonts w:eastAsia="Times New Roman"/>
                <w:b/>
                <w:color w:val="000000"/>
                <w:sz w:val="20"/>
                <w:szCs w:val="20"/>
                <w:lang w:val="vi-VN" w:eastAsia="vi-VN"/>
              </w:rPr>
            </w:pPr>
            <w:r w:rsidRPr="00750E11">
              <w:rPr>
                <w:rFonts w:eastAsia="Times New Roman"/>
                <w:b/>
                <w:color w:val="000000"/>
                <w:sz w:val="20"/>
                <w:szCs w:val="20"/>
                <w:lang w:val="vi-VN" w:eastAsia="vi-VN"/>
              </w:rPr>
              <w:t>Doanh thu xuất khẩu (tỷ USD)</w:t>
            </w:r>
          </w:p>
        </w:tc>
        <w:tc>
          <w:tcPr>
            <w:tcW w:w="740" w:type="dxa"/>
            <w:tcBorders>
              <w:top w:val="nil"/>
              <w:left w:val="nil"/>
              <w:bottom w:val="single" w:sz="4" w:space="0" w:color="auto"/>
              <w:right w:val="single" w:sz="4" w:space="0" w:color="auto"/>
            </w:tcBorders>
            <w:shd w:val="clear" w:color="auto" w:fill="auto"/>
            <w:vAlign w:val="center"/>
            <w:hideMark/>
          </w:tcPr>
          <w:p w14:paraId="70A37404" w14:textId="77777777" w:rsidR="00C663D1" w:rsidRPr="00750E11" w:rsidRDefault="00C663D1" w:rsidP="00750E11">
            <w:pPr>
              <w:spacing w:after="0" w:line="240" w:lineRule="auto"/>
              <w:ind w:left="-113" w:firstLine="0"/>
              <w:jc w:val="center"/>
              <w:rPr>
                <w:rFonts w:eastAsia="Times New Roman"/>
                <w:b/>
                <w:color w:val="000000"/>
                <w:sz w:val="20"/>
                <w:szCs w:val="20"/>
                <w:lang w:val="vi-VN" w:eastAsia="vi-VN"/>
              </w:rPr>
            </w:pPr>
            <w:r w:rsidRPr="00750E11">
              <w:rPr>
                <w:rFonts w:eastAsia="Times New Roman"/>
                <w:b/>
                <w:color w:val="000000"/>
                <w:sz w:val="20"/>
                <w:szCs w:val="20"/>
                <w:lang w:val="vi-VN" w:eastAsia="vi-VN"/>
              </w:rPr>
              <w:t>Thị phần toàn cầu</w:t>
            </w:r>
          </w:p>
        </w:tc>
        <w:tc>
          <w:tcPr>
            <w:tcW w:w="1440" w:type="dxa"/>
            <w:tcBorders>
              <w:top w:val="nil"/>
              <w:left w:val="nil"/>
              <w:bottom w:val="single" w:sz="4" w:space="0" w:color="auto"/>
              <w:right w:val="single" w:sz="4" w:space="0" w:color="auto"/>
            </w:tcBorders>
            <w:shd w:val="clear" w:color="auto" w:fill="auto"/>
            <w:vAlign w:val="center"/>
            <w:hideMark/>
          </w:tcPr>
          <w:p w14:paraId="49A6B4F7" w14:textId="77777777" w:rsidR="00C663D1" w:rsidRPr="00750E11" w:rsidRDefault="00C663D1" w:rsidP="00750E11">
            <w:pPr>
              <w:spacing w:after="0" w:line="240" w:lineRule="auto"/>
              <w:ind w:left="-113" w:firstLine="0"/>
              <w:jc w:val="center"/>
              <w:rPr>
                <w:rFonts w:eastAsia="Times New Roman"/>
                <w:b/>
                <w:color w:val="000000"/>
                <w:sz w:val="20"/>
                <w:szCs w:val="20"/>
                <w:lang w:val="vi-VN" w:eastAsia="vi-VN"/>
              </w:rPr>
            </w:pPr>
            <w:r w:rsidRPr="00750E11">
              <w:rPr>
                <w:rFonts w:eastAsia="Times New Roman"/>
                <w:b/>
                <w:color w:val="000000"/>
                <w:sz w:val="20"/>
                <w:szCs w:val="20"/>
                <w:lang w:val="vi-VN" w:eastAsia="vi-VN"/>
              </w:rPr>
              <w:t>Quốc gia</w:t>
            </w:r>
          </w:p>
        </w:tc>
        <w:tc>
          <w:tcPr>
            <w:tcW w:w="740" w:type="dxa"/>
            <w:tcBorders>
              <w:top w:val="nil"/>
              <w:left w:val="nil"/>
              <w:bottom w:val="single" w:sz="4" w:space="0" w:color="auto"/>
              <w:right w:val="single" w:sz="4" w:space="0" w:color="auto"/>
            </w:tcBorders>
            <w:shd w:val="clear" w:color="auto" w:fill="auto"/>
            <w:vAlign w:val="center"/>
            <w:hideMark/>
          </w:tcPr>
          <w:p w14:paraId="1B7936C8" w14:textId="77777777" w:rsidR="00C663D1" w:rsidRPr="00750E11" w:rsidRDefault="00C663D1" w:rsidP="00750E11">
            <w:pPr>
              <w:spacing w:after="0" w:line="240" w:lineRule="auto"/>
              <w:ind w:left="-113" w:firstLine="0"/>
              <w:jc w:val="center"/>
              <w:rPr>
                <w:rFonts w:eastAsia="Times New Roman"/>
                <w:b/>
                <w:color w:val="000000"/>
                <w:sz w:val="20"/>
                <w:szCs w:val="20"/>
                <w:lang w:val="vi-VN" w:eastAsia="vi-VN"/>
              </w:rPr>
            </w:pPr>
            <w:r w:rsidRPr="00750E11">
              <w:rPr>
                <w:rFonts w:eastAsia="Times New Roman"/>
                <w:b/>
                <w:color w:val="000000"/>
                <w:sz w:val="20"/>
                <w:szCs w:val="20"/>
                <w:lang w:val="vi-VN" w:eastAsia="vi-VN"/>
              </w:rPr>
              <w:t>Doanh thu xuất khẩu (tỷ USD)</w:t>
            </w:r>
          </w:p>
        </w:tc>
        <w:tc>
          <w:tcPr>
            <w:tcW w:w="740" w:type="dxa"/>
            <w:tcBorders>
              <w:top w:val="nil"/>
              <w:left w:val="nil"/>
              <w:bottom w:val="single" w:sz="4" w:space="0" w:color="auto"/>
              <w:right w:val="single" w:sz="4" w:space="0" w:color="auto"/>
            </w:tcBorders>
            <w:shd w:val="clear" w:color="auto" w:fill="auto"/>
            <w:vAlign w:val="center"/>
            <w:hideMark/>
          </w:tcPr>
          <w:p w14:paraId="14376256" w14:textId="77777777" w:rsidR="00C663D1" w:rsidRPr="00750E11" w:rsidRDefault="00C663D1" w:rsidP="00750E11">
            <w:pPr>
              <w:spacing w:after="0" w:line="240" w:lineRule="auto"/>
              <w:ind w:left="-113" w:firstLine="0"/>
              <w:jc w:val="center"/>
              <w:rPr>
                <w:rFonts w:eastAsia="Times New Roman"/>
                <w:b/>
                <w:color w:val="000000"/>
                <w:sz w:val="20"/>
                <w:szCs w:val="20"/>
                <w:lang w:val="vi-VN" w:eastAsia="vi-VN"/>
              </w:rPr>
            </w:pPr>
            <w:r w:rsidRPr="00750E11">
              <w:rPr>
                <w:rFonts w:eastAsia="Times New Roman"/>
                <w:b/>
                <w:color w:val="000000"/>
                <w:sz w:val="20"/>
                <w:szCs w:val="20"/>
                <w:lang w:val="vi-VN" w:eastAsia="vi-VN"/>
              </w:rPr>
              <w:t>Thị phần toàn cầu</w:t>
            </w:r>
          </w:p>
        </w:tc>
        <w:tc>
          <w:tcPr>
            <w:tcW w:w="1440" w:type="dxa"/>
            <w:tcBorders>
              <w:top w:val="nil"/>
              <w:left w:val="nil"/>
              <w:bottom w:val="single" w:sz="4" w:space="0" w:color="auto"/>
              <w:right w:val="single" w:sz="4" w:space="0" w:color="auto"/>
            </w:tcBorders>
            <w:shd w:val="clear" w:color="auto" w:fill="auto"/>
            <w:vAlign w:val="center"/>
            <w:hideMark/>
          </w:tcPr>
          <w:p w14:paraId="2BC44241" w14:textId="77777777" w:rsidR="00C663D1" w:rsidRPr="00750E11" w:rsidRDefault="00C663D1" w:rsidP="00750E11">
            <w:pPr>
              <w:spacing w:after="0" w:line="240" w:lineRule="auto"/>
              <w:ind w:left="-113" w:firstLine="0"/>
              <w:jc w:val="center"/>
              <w:rPr>
                <w:rFonts w:eastAsia="Times New Roman"/>
                <w:b/>
                <w:color w:val="000000"/>
                <w:sz w:val="20"/>
                <w:szCs w:val="20"/>
                <w:lang w:val="vi-VN" w:eastAsia="vi-VN"/>
              </w:rPr>
            </w:pPr>
            <w:r w:rsidRPr="00750E11">
              <w:rPr>
                <w:rFonts w:eastAsia="Times New Roman"/>
                <w:b/>
                <w:color w:val="000000"/>
                <w:sz w:val="20"/>
                <w:szCs w:val="20"/>
                <w:lang w:val="vi-VN" w:eastAsia="vi-VN"/>
              </w:rPr>
              <w:t>Quốc gia</w:t>
            </w:r>
          </w:p>
        </w:tc>
        <w:tc>
          <w:tcPr>
            <w:tcW w:w="740" w:type="dxa"/>
            <w:tcBorders>
              <w:top w:val="nil"/>
              <w:left w:val="nil"/>
              <w:bottom w:val="single" w:sz="4" w:space="0" w:color="auto"/>
              <w:right w:val="single" w:sz="4" w:space="0" w:color="auto"/>
            </w:tcBorders>
            <w:shd w:val="clear" w:color="auto" w:fill="auto"/>
            <w:vAlign w:val="center"/>
            <w:hideMark/>
          </w:tcPr>
          <w:p w14:paraId="232E7641" w14:textId="77777777" w:rsidR="00C663D1" w:rsidRPr="00750E11" w:rsidRDefault="00C663D1" w:rsidP="00750E11">
            <w:pPr>
              <w:spacing w:after="0" w:line="240" w:lineRule="auto"/>
              <w:ind w:left="-113" w:firstLine="0"/>
              <w:jc w:val="center"/>
              <w:rPr>
                <w:rFonts w:eastAsia="Times New Roman"/>
                <w:b/>
                <w:color w:val="000000"/>
                <w:sz w:val="20"/>
                <w:szCs w:val="20"/>
                <w:lang w:val="vi-VN" w:eastAsia="vi-VN"/>
              </w:rPr>
            </w:pPr>
            <w:r w:rsidRPr="00750E11">
              <w:rPr>
                <w:rFonts w:eastAsia="Times New Roman"/>
                <w:b/>
                <w:color w:val="000000"/>
                <w:sz w:val="20"/>
                <w:szCs w:val="20"/>
                <w:lang w:val="vi-VN" w:eastAsia="vi-VN"/>
              </w:rPr>
              <w:t>Doanh thu xuất khẩu (tỷ USD)</w:t>
            </w:r>
          </w:p>
        </w:tc>
        <w:tc>
          <w:tcPr>
            <w:tcW w:w="740" w:type="dxa"/>
            <w:tcBorders>
              <w:top w:val="nil"/>
              <w:left w:val="nil"/>
              <w:bottom w:val="single" w:sz="4" w:space="0" w:color="auto"/>
              <w:right w:val="single" w:sz="4" w:space="0" w:color="auto"/>
            </w:tcBorders>
            <w:shd w:val="clear" w:color="auto" w:fill="auto"/>
            <w:vAlign w:val="center"/>
            <w:hideMark/>
          </w:tcPr>
          <w:p w14:paraId="487B6FC2" w14:textId="77777777" w:rsidR="00C663D1" w:rsidRPr="00750E11" w:rsidRDefault="00C663D1" w:rsidP="00750E11">
            <w:pPr>
              <w:spacing w:after="0" w:line="240" w:lineRule="auto"/>
              <w:ind w:left="-113" w:firstLine="0"/>
              <w:jc w:val="center"/>
              <w:rPr>
                <w:rFonts w:eastAsia="Times New Roman"/>
                <w:b/>
                <w:color w:val="000000"/>
                <w:sz w:val="20"/>
                <w:szCs w:val="20"/>
                <w:lang w:val="vi-VN" w:eastAsia="vi-VN"/>
              </w:rPr>
            </w:pPr>
            <w:r w:rsidRPr="00750E11">
              <w:rPr>
                <w:rFonts w:eastAsia="Times New Roman"/>
                <w:b/>
                <w:color w:val="000000"/>
                <w:sz w:val="20"/>
                <w:szCs w:val="20"/>
                <w:lang w:val="vi-VN" w:eastAsia="vi-VN"/>
              </w:rPr>
              <w:t>Thị phần toàn cầu</w:t>
            </w:r>
          </w:p>
        </w:tc>
      </w:tr>
      <w:tr w:rsidR="00C663D1" w:rsidRPr="00C663D1" w14:paraId="780DDB4E" w14:textId="77777777" w:rsidTr="00C663D1">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D1EF944"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w:t>
            </w:r>
          </w:p>
        </w:tc>
        <w:tc>
          <w:tcPr>
            <w:tcW w:w="1440" w:type="dxa"/>
            <w:tcBorders>
              <w:top w:val="nil"/>
              <w:left w:val="nil"/>
              <w:bottom w:val="single" w:sz="4" w:space="0" w:color="auto"/>
              <w:right w:val="single" w:sz="4" w:space="0" w:color="auto"/>
            </w:tcBorders>
            <w:shd w:val="clear" w:color="auto" w:fill="auto"/>
            <w:vAlign w:val="center"/>
            <w:hideMark/>
          </w:tcPr>
          <w:p w14:paraId="784D5774"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China</w:t>
            </w:r>
          </w:p>
        </w:tc>
        <w:tc>
          <w:tcPr>
            <w:tcW w:w="740" w:type="dxa"/>
            <w:tcBorders>
              <w:top w:val="nil"/>
              <w:left w:val="nil"/>
              <w:bottom w:val="single" w:sz="4" w:space="0" w:color="auto"/>
              <w:right w:val="single" w:sz="4" w:space="0" w:color="auto"/>
            </w:tcBorders>
            <w:shd w:val="clear" w:color="auto" w:fill="auto"/>
            <w:vAlign w:val="center"/>
            <w:hideMark/>
          </w:tcPr>
          <w:p w14:paraId="4A20EE5B"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126,1</w:t>
            </w:r>
          </w:p>
        </w:tc>
        <w:tc>
          <w:tcPr>
            <w:tcW w:w="740" w:type="dxa"/>
            <w:tcBorders>
              <w:top w:val="nil"/>
              <w:left w:val="nil"/>
              <w:bottom w:val="single" w:sz="4" w:space="0" w:color="auto"/>
              <w:right w:val="single" w:sz="4" w:space="0" w:color="auto"/>
            </w:tcBorders>
            <w:shd w:val="clear" w:color="auto" w:fill="auto"/>
            <w:vAlign w:val="center"/>
            <w:hideMark/>
          </w:tcPr>
          <w:p w14:paraId="6C650494"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50,9%</w:t>
            </w:r>
          </w:p>
        </w:tc>
        <w:tc>
          <w:tcPr>
            <w:tcW w:w="1440" w:type="dxa"/>
            <w:tcBorders>
              <w:top w:val="nil"/>
              <w:left w:val="nil"/>
              <w:bottom w:val="single" w:sz="4" w:space="0" w:color="auto"/>
              <w:right w:val="single" w:sz="4" w:space="0" w:color="auto"/>
            </w:tcBorders>
            <w:shd w:val="clear" w:color="auto" w:fill="auto"/>
            <w:vAlign w:val="center"/>
            <w:hideMark/>
          </w:tcPr>
          <w:p w14:paraId="7A6D94B4"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Hong Kong</w:t>
            </w:r>
          </w:p>
        </w:tc>
        <w:tc>
          <w:tcPr>
            <w:tcW w:w="740" w:type="dxa"/>
            <w:tcBorders>
              <w:top w:val="nil"/>
              <w:left w:val="nil"/>
              <w:bottom w:val="single" w:sz="4" w:space="0" w:color="auto"/>
              <w:right w:val="single" w:sz="4" w:space="0" w:color="auto"/>
            </w:tcBorders>
            <w:shd w:val="clear" w:color="auto" w:fill="auto"/>
            <w:vAlign w:val="center"/>
            <w:hideMark/>
          </w:tcPr>
          <w:p w14:paraId="58EEAFCE"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153,9</w:t>
            </w:r>
          </w:p>
        </w:tc>
        <w:tc>
          <w:tcPr>
            <w:tcW w:w="740" w:type="dxa"/>
            <w:tcBorders>
              <w:top w:val="nil"/>
              <w:left w:val="nil"/>
              <w:bottom w:val="single" w:sz="4" w:space="0" w:color="auto"/>
              <w:right w:val="single" w:sz="4" w:space="0" w:color="auto"/>
            </w:tcBorders>
            <w:shd w:val="clear" w:color="auto" w:fill="auto"/>
            <w:vAlign w:val="center"/>
            <w:hideMark/>
          </w:tcPr>
          <w:p w14:paraId="57DB59C3"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19,6%</w:t>
            </w:r>
          </w:p>
        </w:tc>
        <w:tc>
          <w:tcPr>
            <w:tcW w:w="1440" w:type="dxa"/>
            <w:tcBorders>
              <w:top w:val="nil"/>
              <w:left w:val="nil"/>
              <w:bottom w:val="single" w:sz="4" w:space="0" w:color="auto"/>
              <w:right w:val="single" w:sz="4" w:space="0" w:color="auto"/>
            </w:tcBorders>
            <w:shd w:val="clear" w:color="auto" w:fill="auto"/>
            <w:vAlign w:val="center"/>
            <w:hideMark/>
          </w:tcPr>
          <w:p w14:paraId="150F6536"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China</w:t>
            </w:r>
          </w:p>
        </w:tc>
        <w:tc>
          <w:tcPr>
            <w:tcW w:w="740" w:type="dxa"/>
            <w:tcBorders>
              <w:top w:val="nil"/>
              <w:left w:val="nil"/>
              <w:bottom w:val="single" w:sz="4" w:space="0" w:color="auto"/>
              <w:right w:val="single" w:sz="4" w:space="0" w:color="auto"/>
            </w:tcBorders>
            <w:shd w:val="clear" w:color="auto" w:fill="auto"/>
            <w:vAlign w:val="center"/>
            <w:hideMark/>
          </w:tcPr>
          <w:p w14:paraId="0AAA7427"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170,2</w:t>
            </w:r>
          </w:p>
        </w:tc>
        <w:tc>
          <w:tcPr>
            <w:tcW w:w="740" w:type="dxa"/>
            <w:tcBorders>
              <w:top w:val="nil"/>
              <w:left w:val="nil"/>
              <w:bottom w:val="single" w:sz="4" w:space="0" w:color="auto"/>
              <w:right w:val="single" w:sz="4" w:space="0" w:color="auto"/>
            </w:tcBorders>
            <w:shd w:val="clear" w:color="auto" w:fill="auto"/>
            <w:vAlign w:val="center"/>
            <w:hideMark/>
          </w:tcPr>
          <w:p w14:paraId="4836C419"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45,3%</w:t>
            </w:r>
          </w:p>
        </w:tc>
      </w:tr>
      <w:tr w:rsidR="00C663D1" w:rsidRPr="00C663D1" w14:paraId="0AFC252D" w14:textId="77777777" w:rsidTr="00C663D1">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6A33293"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2</w:t>
            </w:r>
          </w:p>
        </w:tc>
        <w:tc>
          <w:tcPr>
            <w:tcW w:w="1440" w:type="dxa"/>
            <w:tcBorders>
              <w:top w:val="nil"/>
              <w:left w:val="nil"/>
              <w:bottom w:val="single" w:sz="4" w:space="0" w:color="auto"/>
              <w:right w:val="single" w:sz="4" w:space="0" w:color="auto"/>
            </w:tcBorders>
            <w:shd w:val="clear" w:color="000000" w:fill="D9D9D9"/>
            <w:vAlign w:val="center"/>
            <w:hideMark/>
          </w:tcPr>
          <w:p w14:paraId="7DD81953"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Vietnam</w:t>
            </w:r>
          </w:p>
        </w:tc>
        <w:tc>
          <w:tcPr>
            <w:tcW w:w="740" w:type="dxa"/>
            <w:tcBorders>
              <w:top w:val="nil"/>
              <w:left w:val="nil"/>
              <w:bottom w:val="single" w:sz="4" w:space="0" w:color="auto"/>
              <w:right w:val="single" w:sz="4" w:space="0" w:color="auto"/>
            </w:tcBorders>
            <w:shd w:val="clear" w:color="auto" w:fill="auto"/>
            <w:vAlign w:val="center"/>
            <w:hideMark/>
          </w:tcPr>
          <w:p w14:paraId="665082E1"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35,3</w:t>
            </w:r>
          </w:p>
        </w:tc>
        <w:tc>
          <w:tcPr>
            <w:tcW w:w="740" w:type="dxa"/>
            <w:tcBorders>
              <w:top w:val="nil"/>
              <w:left w:val="nil"/>
              <w:bottom w:val="single" w:sz="4" w:space="0" w:color="auto"/>
              <w:right w:val="single" w:sz="4" w:space="0" w:color="auto"/>
            </w:tcBorders>
            <w:shd w:val="clear" w:color="auto" w:fill="auto"/>
            <w:vAlign w:val="center"/>
            <w:hideMark/>
          </w:tcPr>
          <w:p w14:paraId="39B9EA26"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14,2%</w:t>
            </w:r>
          </w:p>
        </w:tc>
        <w:tc>
          <w:tcPr>
            <w:tcW w:w="1440" w:type="dxa"/>
            <w:tcBorders>
              <w:top w:val="nil"/>
              <w:left w:val="nil"/>
              <w:bottom w:val="single" w:sz="4" w:space="0" w:color="auto"/>
              <w:right w:val="single" w:sz="4" w:space="0" w:color="auto"/>
            </w:tcBorders>
            <w:shd w:val="clear" w:color="auto" w:fill="auto"/>
            <w:vAlign w:val="center"/>
            <w:hideMark/>
          </w:tcPr>
          <w:p w14:paraId="2C5889AD"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Taiwan</w:t>
            </w:r>
          </w:p>
        </w:tc>
        <w:tc>
          <w:tcPr>
            <w:tcW w:w="740" w:type="dxa"/>
            <w:tcBorders>
              <w:top w:val="nil"/>
              <w:left w:val="nil"/>
              <w:bottom w:val="single" w:sz="4" w:space="0" w:color="auto"/>
              <w:right w:val="single" w:sz="4" w:space="0" w:color="auto"/>
            </w:tcBorders>
            <w:shd w:val="clear" w:color="auto" w:fill="auto"/>
            <w:vAlign w:val="center"/>
            <w:hideMark/>
          </w:tcPr>
          <w:p w14:paraId="5BA66B77"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122,9</w:t>
            </w:r>
          </w:p>
        </w:tc>
        <w:tc>
          <w:tcPr>
            <w:tcW w:w="740" w:type="dxa"/>
            <w:tcBorders>
              <w:top w:val="nil"/>
              <w:left w:val="nil"/>
              <w:bottom w:val="single" w:sz="4" w:space="0" w:color="auto"/>
              <w:right w:val="single" w:sz="4" w:space="0" w:color="auto"/>
            </w:tcBorders>
            <w:shd w:val="clear" w:color="auto" w:fill="auto"/>
            <w:vAlign w:val="center"/>
            <w:hideMark/>
          </w:tcPr>
          <w:p w14:paraId="1A75A839"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15,7%</w:t>
            </w:r>
          </w:p>
        </w:tc>
        <w:tc>
          <w:tcPr>
            <w:tcW w:w="1440" w:type="dxa"/>
            <w:tcBorders>
              <w:top w:val="nil"/>
              <w:left w:val="nil"/>
              <w:bottom w:val="single" w:sz="4" w:space="0" w:color="auto"/>
              <w:right w:val="single" w:sz="4" w:space="0" w:color="auto"/>
            </w:tcBorders>
            <w:shd w:val="clear" w:color="auto" w:fill="auto"/>
            <w:vAlign w:val="center"/>
            <w:hideMark/>
          </w:tcPr>
          <w:p w14:paraId="2EC34D14"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Mexico</w:t>
            </w:r>
          </w:p>
        </w:tc>
        <w:tc>
          <w:tcPr>
            <w:tcW w:w="740" w:type="dxa"/>
            <w:tcBorders>
              <w:top w:val="nil"/>
              <w:left w:val="nil"/>
              <w:bottom w:val="single" w:sz="4" w:space="0" w:color="auto"/>
              <w:right w:val="single" w:sz="4" w:space="0" w:color="auto"/>
            </w:tcBorders>
            <w:shd w:val="clear" w:color="auto" w:fill="auto"/>
            <w:vAlign w:val="center"/>
            <w:hideMark/>
          </w:tcPr>
          <w:p w14:paraId="1570BEDA"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31,8</w:t>
            </w:r>
          </w:p>
        </w:tc>
        <w:tc>
          <w:tcPr>
            <w:tcW w:w="740" w:type="dxa"/>
            <w:tcBorders>
              <w:top w:val="nil"/>
              <w:left w:val="nil"/>
              <w:bottom w:val="single" w:sz="4" w:space="0" w:color="auto"/>
              <w:right w:val="single" w:sz="4" w:space="0" w:color="auto"/>
            </w:tcBorders>
            <w:shd w:val="clear" w:color="auto" w:fill="auto"/>
            <w:vAlign w:val="center"/>
            <w:hideMark/>
          </w:tcPr>
          <w:p w14:paraId="215668B8"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8,5%</w:t>
            </w:r>
          </w:p>
        </w:tc>
      </w:tr>
      <w:tr w:rsidR="00C663D1" w:rsidRPr="00C663D1" w14:paraId="5FA5BBA6" w14:textId="77777777" w:rsidTr="00C663D1">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62AEA05"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3</w:t>
            </w:r>
          </w:p>
        </w:tc>
        <w:tc>
          <w:tcPr>
            <w:tcW w:w="1440" w:type="dxa"/>
            <w:tcBorders>
              <w:top w:val="nil"/>
              <w:left w:val="nil"/>
              <w:bottom w:val="single" w:sz="4" w:space="0" w:color="auto"/>
              <w:right w:val="single" w:sz="4" w:space="0" w:color="auto"/>
            </w:tcBorders>
            <w:shd w:val="clear" w:color="auto" w:fill="auto"/>
            <w:vAlign w:val="center"/>
            <w:hideMark/>
          </w:tcPr>
          <w:p w14:paraId="37607DE9"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Hong Kong</w:t>
            </w:r>
          </w:p>
        </w:tc>
        <w:tc>
          <w:tcPr>
            <w:tcW w:w="740" w:type="dxa"/>
            <w:tcBorders>
              <w:top w:val="nil"/>
              <w:left w:val="nil"/>
              <w:bottom w:val="single" w:sz="4" w:space="0" w:color="auto"/>
              <w:right w:val="single" w:sz="4" w:space="0" w:color="auto"/>
            </w:tcBorders>
            <w:shd w:val="clear" w:color="auto" w:fill="auto"/>
            <w:vAlign w:val="center"/>
            <w:hideMark/>
          </w:tcPr>
          <w:p w14:paraId="0BCB210D"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27,5</w:t>
            </w:r>
          </w:p>
        </w:tc>
        <w:tc>
          <w:tcPr>
            <w:tcW w:w="740" w:type="dxa"/>
            <w:tcBorders>
              <w:top w:val="nil"/>
              <w:left w:val="nil"/>
              <w:bottom w:val="single" w:sz="4" w:space="0" w:color="auto"/>
              <w:right w:val="single" w:sz="4" w:space="0" w:color="auto"/>
            </w:tcBorders>
            <w:shd w:val="clear" w:color="auto" w:fill="auto"/>
            <w:vAlign w:val="center"/>
            <w:hideMark/>
          </w:tcPr>
          <w:p w14:paraId="0ABF9531"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11,1%</w:t>
            </w:r>
          </w:p>
        </w:tc>
        <w:tc>
          <w:tcPr>
            <w:tcW w:w="1440" w:type="dxa"/>
            <w:tcBorders>
              <w:top w:val="nil"/>
              <w:left w:val="nil"/>
              <w:bottom w:val="single" w:sz="4" w:space="0" w:color="auto"/>
              <w:right w:val="single" w:sz="4" w:space="0" w:color="auto"/>
            </w:tcBorders>
            <w:shd w:val="clear" w:color="auto" w:fill="auto"/>
            <w:vAlign w:val="center"/>
            <w:hideMark/>
          </w:tcPr>
          <w:p w14:paraId="72CB2561"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China</w:t>
            </w:r>
          </w:p>
        </w:tc>
        <w:tc>
          <w:tcPr>
            <w:tcW w:w="740" w:type="dxa"/>
            <w:tcBorders>
              <w:top w:val="nil"/>
              <w:left w:val="nil"/>
              <w:bottom w:val="single" w:sz="4" w:space="0" w:color="auto"/>
              <w:right w:val="single" w:sz="4" w:space="0" w:color="auto"/>
            </w:tcBorders>
            <w:shd w:val="clear" w:color="auto" w:fill="auto"/>
            <w:vAlign w:val="center"/>
            <w:hideMark/>
          </w:tcPr>
          <w:p w14:paraId="7665FD5C"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117,1</w:t>
            </w:r>
          </w:p>
        </w:tc>
        <w:tc>
          <w:tcPr>
            <w:tcW w:w="740" w:type="dxa"/>
            <w:tcBorders>
              <w:top w:val="nil"/>
              <w:left w:val="nil"/>
              <w:bottom w:val="single" w:sz="4" w:space="0" w:color="auto"/>
              <w:right w:val="single" w:sz="4" w:space="0" w:color="auto"/>
            </w:tcBorders>
            <w:shd w:val="clear" w:color="auto" w:fill="auto"/>
            <w:vAlign w:val="center"/>
            <w:hideMark/>
          </w:tcPr>
          <w:p w14:paraId="41B5ADD4"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14,9%</w:t>
            </w:r>
          </w:p>
        </w:tc>
        <w:tc>
          <w:tcPr>
            <w:tcW w:w="1440" w:type="dxa"/>
            <w:tcBorders>
              <w:top w:val="nil"/>
              <w:left w:val="nil"/>
              <w:bottom w:val="single" w:sz="4" w:space="0" w:color="auto"/>
              <w:right w:val="single" w:sz="4" w:space="0" w:color="auto"/>
            </w:tcBorders>
            <w:shd w:val="clear" w:color="auto" w:fill="auto"/>
            <w:vAlign w:val="center"/>
            <w:hideMark/>
          </w:tcPr>
          <w:p w14:paraId="71DA7E25"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United States</w:t>
            </w:r>
          </w:p>
        </w:tc>
        <w:tc>
          <w:tcPr>
            <w:tcW w:w="740" w:type="dxa"/>
            <w:tcBorders>
              <w:top w:val="nil"/>
              <w:left w:val="nil"/>
              <w:bottom w:val="single" w:sz="4" w:space="0" w:color="auto"/>
              <w:right w:val="single" w:sz="4" w:space="0" w:color="auto"/>
            </w:tcBorders>
            <w:shd w:val="clear" w:color="auto" w:fill="auto"/>
            <w:vAlign w:val="center"/>
            <w:hideMark/>
          </w:tcPr>
          <w:p w14:paraId="6626535D"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24,8</w:t>
            </w:r>
          </w:p>
        </w:tc>
        <w:tc>
          <w:tcPr>
            <w:tcW w:w="740" w:type="dxa"/>
            <w:tcBorders>
              <w:top w:val="nil"/>
              <w:left w:val="nil"/>
              <w:bottom w:val="single" w:sz="4" w:space="0" w:color="auto"/>
              <w:right w:val="single" w:sz="4" w:space="0" w:color="auto"/>
            </w:tcBorders>
            <w:shd w:val="clear" w:color="auto" w:fill="auto"/>
            <w:vAlign w:val="center"/>
            <w:hideMark/>
          </w:tcPr>
          <w:p w14:paraId="675915C9"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6,6%</w:t>
            </w:r>
          </w:p>
        </w:tc>
      </w:tr>
      <w:tr w:rsidR="00C663D1" w:rsidRPr="00C663D1" w14:paraId="750AD47B" w14:textId="77777777" w:rsidTr="00C663D1">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41CC444"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4</w:t>
            </w:r>
          </w:p>
        </w:tc>
        <w:tc>
          <w:tcPr>
            <w:tcW w:w="1440" w:type="dxa"/>
            <w:tcBorders>
              <w:top w:val="nil"/>
              <w:left w:val="nil"/>
              <w:bottom w:val="single" w:sz="4" w:space="0" w:color="auto"/>
              <w:right w:val="single" w:sz="4" w:space="0" w:color="auto"/>
            </w:tcBorders>
            <w:shd w:val="clear" w:color="auto" w:fill="auto"/>
            <w:vAlign w:val="center"/>
            <w:hideMark/>
          </w:tcPr>
          <w:p w14:paraId="0EA2534D"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United States</w:t>
            </w:r>
          </w:p>
        </w:tc>
        <w:tc>
          <w:tcPr>
            <w:tcW w:w="740" w:type="dxa"/>
            <w:tcBorders>
              <w:top w:val="nil"/>
              <w:left w:val="nil"/>
              <w:bottom w:val="single" w:sz="4" w:space="0" w:color="auto"/>
              <w:right w:val="single" w:sz="4" w:space="0" w:color="auto"/>
            </w:tcBorders>
            <w:shd w:val="clear" w:color="auto" w:fill="auto"/>
            <w:vAlign w:val="center"/>
            <w:hideMark/>
          </w:tcPr>
          <w:p w14:paraId="04626859"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9,6</w:t>
            </w:r>
          </w:p>
        </w:tc>
        <w:tc>
          <w:tcPr>
            <w:tcW w:w="740" w:type="dxa"/>
            <w:tcBorders>
              <w:top w:val="nil"/>
              <w:left w:val="nil"/>
              <w:bottom w:val="single" w:sz="4" w:space="0" w:color="auto"/>
              <w:right w:val="single" w:sz="4" w:space="0" w:color="auto"/>
            </w:tcBorders>
            <w:shd w:val="clear" w:color="auto" w:fill="auto"/>
            <w:vAlign w:val="center"/>
            <w:hideMark/>
          </w:tcPr>
          <w:p w14:paraId="4E49DAB9"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3,9%</w:t>
            </w:r>
          </w:p>
        </w:tc>
        <w:tc>
          <w:tcPr>
            <w:tcW w:w="1440" w:type="dxa"/>
            <w:tcBorders>
              <w:top w:val="nil"/>
              <w:left w:val="nil"/>
              <w:bottom w:val="single" w:sz="4" w:space="0" w:color="auto"/>
              <w:right w:val="single" w:sz="4" w:space="0" w:color="auto"/>
            </w:tcBorders>
            <w:shd w:val="clear" w:color="auto" w:fill="auto"/>
            <w:vAlign w:val="center"/>
            <w:hideMark/>
          </w:tcPr>
          <w:p w14:paraId="0258D47C"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Singapore</w:t>
            </w:r>
          </w:p>
        </w:tc>
        <w:tc>
          <w:tcPr>
            <w:tcW w:w="740" w:type="dxa"/>
            <w:tcBorders>
              <w:top w:val="nil"/>
              <w:left w:val="nil"/>
              <w:bottom w:val="single" w:sz="4" w:space="0" w:color="auto"/>
              <w:right w:val="single" w:sz="4" w:space="0" w:color="auto"/>
            </w:tcBorders>
            <w:shd w:val="clear" w:color="auto" w:fill="auto"/>
            <w:vAlign w:val="center"/>
            <w:hideMark/>
          </w:tcPr>
          <w:p w14:paraId="24DC5464"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86,3</w:t>
            </w:r>
          </w:p>
        </w:tc>
        <w:tc>
          <w:tcPr>
            <w:tcW w:w="740" w:type="dxa"/>
            <w:tcBorders>
              <w:top w:val="nil"/>
              <w:left w:val="nil"/>
              <w:bottom w:val="single" w:sz="4" w:space="0" w:color="auto"/>
              <w:right w:val="single" w:sz="4" w:space="0" w:color="auto"/>
            </w:tcBorders>
            <w:shd w:val="clear" w:color="auto" w:fill="auto"/>
            <w:vAlign w:val="center"/>
            <w:hideMark/>
          </w:tcPr>
          <w:p w14:paraId="339E54C7"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11,0%</w:t>
            </w:r>
          </w:p>
        </w:tc>
        <w:tc>
          <w:tcPr>
            <w:tcW w:w="1440" w:type="dxa"/>
            <w:tcBorders>
              <w:top w:val="nil"/>
              <w:left w:val="nil"/>
              <w:bottom w:val="single" w:sz="4" w:space="0" w:color="auto"/>
              <w:right w:val="single" w:sz="4" w:space="0" w:color="auto"/>
            </w:tcBorders>
            <w:shd w:val="clear" w:color="auto" w:fill="auto"/>
            <w:vAlign w:val="center"/>
            <w:hideMark/>
          </w:tcPr>
          <w:p w14:paraId="5C27159B"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Hong Kong</w:t>
            </w:r>
          </w:p>
        </w:tc>
        <w:tc>
          <w:tcPr>
            <w:tcW w:w="740" w:type="dxa"/>
            <w:tcBorders>
              <w:top w:val="nil"/>
              <w:left w:val="nil"/>
              <w:bottom w:val="single" w:sz="4" w:space="0" w:color="auto"/>
              <w:right w:val="single" w:sz="4" w:space="0" w:color="auto"/>
            </w:tcBorders>
            <w:shd w:val="clear" w:color="auto" w:fill="auto"/>
            <w:vAlign w:val="center"/>
            <w:hideMark/>
          </w:tcPr>
          <w:p w14:paraId="6274C7CE"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24,2</w:t>
            </w:r>
          </w:p>
        </w:tc>
        <w:tc>
          <w:tcPr>
            <w:tcW w:w="740" w:type="dxa"/>
            <w:tcBorders>
              <w:top w:val="nil"/>
              <w:left w:val="nil"/>
              <w:bottom w:val="single" w:sz="4" w:space="0" w:color="auto"/>
              <w:right w:val="single" w:sz="4" w:space="0" w:color="auto"/>
            </w:tcBorders>
            <w:shd w:val="clear" w:color="auto" w:fill="auto"/>
            <w:vAlign w:val="center"/>
            <w:hideMark/>
          </w:tcPr>
          <w:p w14:paraId="35220446"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6,4%</w:t>
            </w:r>
          </w:p>
        </w:tc>
      </w:tr>
      <w:tr w:rsidR="00C663D1" w:rsidRPr="00C663D1" w14:paraId="20B6A1D3" w14:textId="77777777" w:rsidTr="00C663D1">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B8677D5"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5</w:t>
            </w:r>
          </w:p>
        </w:tc>
        <w:tc>
          <w:tcPr>
            <w:tcW w:w="1440" w:type="dxa"/>
            <w:tcBorders>
              <w:top w:val="nil"/>
              <w:left w:val="nil"/>
              <w:bottom w:val="single" w:sz="4" w:space="0" w:color="auto"/>
              <w:right w:val="single" w:sz="4" w:space="0" w:color="auto"/>
            </w:tcBorders>
            <w:shd w:val="clear" w:color="auto" w:fill="auto"/>
            <w:vAlign w:val="center"/>
            <w:hideMark/>
          </w:tcPr>
          <w:p w14:paraId="30AFF7AD"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Czech Republic</w:t>
            </w:r>
          </w:p>
        </w:tc>
        <w:tc>
          <w:tcPr>
            <w:tcW w:w="740" w:type="dxa"/>
            <w:tcBorders>
              <w:top w:val="nil"/>
              <w:left w:val="nil"/>
              <w:bottom w:val="single" w:sz="4" w:space="0" w:color="auto"/>
              <w:right w:val="single" w:sz="4" w:space="0" w:color="auto"/>
            </w:tcBorders>
            <w:shd w:val="clear" w:color="auto" w:fill="auto"/>
            <w:vAlign w:val="center"/>
            <w:hideMark/>
          </w:tcPr>
          <w:p w14:paraId="69BD84C2"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6,5</w:t>
            </w:r>
          </w:p>
        </w:tc>
        <w:tc>
          <w:tcPr>
            <w:tcW w:w="740" w:type="dxa"/>
            <w:tcBorders>
              <w:top w:val="nil"/>
              <w:left w:val="nil"/>
              <w:bottom w:val="single" w:sz="4" w:space="0" w:color="auto"/>
              <w:right w:val="single" w:sz="4" w:space="0" w:color="auto"/>
            </w:tcBorders>
            <w:shd w:val="clear" w:color="auto" w:fill="auto"/>
            <w:vAlign w:val="center"/>
            <w:hideMark/>
          </w:tcPr>
          <w:p w14:paraId="269AE94F"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2,6%</w:t>
            </w:r>
          </w:p>
        </w:tc>
        <w:tc>
          <w:tcPr>
            <w:tcW w:w="1440" w:type="dxa"/>
            <w:tcBorders>
              <w:top w:val="nil"/>
              <w:left w:val="nil"/>
              <w:bottom w:val="single" w:sz="4" w:space="0" w:color="auto"/>
              <w:right w:val="single" w:sz="4" w:space="0" w:color="auto"/>
            </w:tcBorders>
            <w:shd w:val="clear" w:color="auto" w:fill="auto"/>
            <w:vAlign w:val="center"/>
            <w:hideMark/>
          </w:tcPr>
          <w:p w14:paraId="1FF54595"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South Korea</w:t>
            </w:r>
          </w:p>
        </w:tc>
        <w:tc>
          <w:tcPr>
            <w:tcW w:w="740" w:type="dxa"/>
            <w:tcBorders>
              <w:top w:val="nil"/>
              <w:left w:val="nil"/>
              <w:bottom w:val="single" w:sz="4" w:space="0" w:color="auto"/>
              <w:right w:val="single" w:sz="4" w:space="0" w:color="auto"/>
            </w:tcBorders>
            <w:shd w:val="clear" w:color="auto" w:fill="auto"/>
            <w:vAlign w:val="center"/>
            <w:hideMark/>
          </w:tcPr>
          <w:p w14:paraId="1F7B1C5A"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82,9</w:t>
            </w:r>
          </w:p>
        </w:tc>
        <w:tc>
          <w:tcPr>
            <w:tcW w:w="740" w:type="dxa"/>
            <w:tcBorders>
              <w:top w:val="nil"/>
              <w:left w:val="nil"/>
              <w:bottom w:val="single" w:sz="4" w:space="0" w:color="auto"/>
              <w:right w:val="single" w:sz="4" w:space="0" w:color="auto"/>
            </w:tcBorders>
            <w:shd w:val="clear" w:color="auto" w:fill="auto"/>
            <w:vAlign w:val="center"/>
            <w:hideMark/>
          </w:tcPr>
          <w:p w14:paraId="50FB7D83"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10,6%</w:t>
            </w:r>
          </w:p>
        </w:tc>
        <w:tc>
          <w:tcPr>
            <w:tcW w:w="1440" w:type="dxa"/>
            <w:tcBorders>
              <w:top w:val="nil"/>
              <w:left w:val="nil"/>
              <w:bottom w:val="single" w:sz="4" w:space="0" w:color="auto"/>
              <w:right w:val="single" w:sz="4" w:space="0" w:color="auto"/>
            </w:tcBorders>
            <w:shd w:val="clear" w:color="auto" w:fill="auto"/>
            <w:vAlign w:val="center"/>
            <w:hideMark/>
          </w:tcPr>
          <w:p w14:paraId="5B0AFC1B"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Germany</w:t>
            </w:r>
          </w:p>
        </w:tc>
        <w:tc>
          <w:tcPr>
            <w:tcW w:w="740" w:type="dxa"/>
            <w:tcBorders>
              <w:top w:val="nil"/>
              <w:left w:val="nil"/>
              <w:bottom w:val="single" w:sz="4" w:space="0" w:color="auto"/>
              <w:right w:val="single" w:sz="4" w:space="0" w:color="auto"/>
            </w:tcBorders>
            <w:shd w:val="clear" w:color="auto" w:fill="auto"/>
            <w:vAlign w:val="center"/>
            <w:hideMark/>
          </w:tcPr>
          <w:p w14:paraId="4F7678C4"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15,6</w:t>
            </w:r>
          </w:p>
        </w:tc>
        <w:tc>
          <w:tcPr>
            <w:tcW w:w="740" w:type="dxa"/>
            <w:tcBorders>
              <w:top w:val="nil"/>
              <w:left w:val="nil"/>
              <w:bottom w:val="single" w:sz="4" w:space="0" w:color="auto"/>
              <w:right w:val="single" w:sz="4" w:space="0" w:color="auto"/>
            </w:tcBorders>
            <w:shd w:val="clear" w:color="auto" w:fill="auto"/>
            <w:vAlign w:val="center"/>
            <w:hideMark/>
          </w:tcPr>
          <w:p w14:paraId="0F03D2B2"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4,2%</w:t>
            </w:r>
          </w:p>
        </w:tc>
      </w:tr>
      <w:tr w:rsidR="00C663D1" w:rsidRPr="00C663D1" w14:paraId="4222249D" w14:textId="77777777" w:rsidTr="00C663D1">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96AE71C"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6</w:t>
            </w:r>
          </w:p>
        </w:tc>
        <w:tc>
          <w:tcPr>
            <w:tcW w:w="1440" w:type="dxa"/>
            <w:tcBorders>
              <w:top w:val="nil"/>
              <w:left w:val="nil"/>
              <w:bottom w:val="single" w:sz="4" w:space="0" w:color="auto"/>
              <w:right w:val="single" w:sz="4" w:space="0" w:color="auto"/>
            </w:tcBorders>
            <w:shd w:val="clear" w:color="auto" w:fill="auto"/>
            <w:vAlign w:val="center"/>
            <w:hideMark/>
          </w:tcPr>
          <w:p w14:paraId="3530CD47"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Germany</w:t>
            </w:r>
          </w:p>
        </w:tc>
        <w:tc>
          <w:tcPr>
            <w:tcW w:w="740" w:type="dxa"/>
            <w:tcBorders>
              <w:top w:val="nil"/>
              <w:left w:val="nil"/>
              <w:bottom w:val="single" w:sz="4" w:space="0" w:color="auto"/>
              <w:right w:val="single" w:sz="4" w:space="0" w:color="auto"/>
            </w:tcBorders>
            <w:shd w:val="clear" w:color="auto" w:fill="auto"/>
            <w:vAlign w:val="center"/>
            <w:hideMark/>
          </w:tcPr>
          <w:p w14:paraId="2C3FE7CC"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6</w:t>
            </w:r>
          </w:p>
        </w:tc>
        <w:tc>
          <w:tcPr>
            <w:tcW w:w="740" w:type="dxa"/>
            <w:tcBorders>
              <w:top w:val="nil"/>
              <w:left w:val="nil"/>
              <w:bottom w:val="single" w:sz="4" w:space="0" w:color="auto"/>
              <w:right w:val="single" w:sz="4" w:space="0" w:color="auto"/>
            </w:tcBorders>
            <w:shd w:val="clear" w:color="auto" w:fill="auto"/>
            <w:vAlign w:val="center"/>
            <w:hideMark/>
          </w:tcPr>
          <w:p w14:paraId="2AAC5022"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2,4%</w:t>
            </w:r>
          </w:p>
        </w:tc>
        <w:tc>
          <w:tcPr>
            <w:tcW w:w="1440" w:type="dxa"/>
            <w:tcBorders>
              <w:top w:val="nil"/>
              <w:left w:val="nil"/>
              <w:bottom w:val="single" w:sz="4" w:space="0" w:color="auto"/>
              <w:right w:val="single" w:sz="4" w:space="0" w:color="auto"/>
            </w:tcBorders>
            <w:shd w:val="clear" w:color="auto" w:fill="auto"/>
            <w:vAlign w:val="center"/>
            <w:hideMark/>
          </w:tcPr>
          <w:p w14:paraId="2F8AE5B8"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Malaysia</w:t>
            </w:r>
          </w:p>
        </w:tc>
        <w:tc>
          <w:tcPr>
            <w:tcW w:w="740" w:type="dxa"/>
            <w:tcBorders>
              <w:top w:val="nil"/>
              <w:left w:val="nil"/>
              <w:bottom w:val="single" w:sz="4" w:space="0" w:color="auto"/>
              <w:right w:val="single" w:sz="4" w:space="0" w:color="auto"/>
            </w:tcBorders>
            <w:shd w:val="clear" w:color="auto" w:fill="auto"/>
            <w:vAlign w:val="center"/>
            <w:hideMark/>
          </w:tcPr>
          <w:p w14:paraId="7E9B949D"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49,3</w:t>
            </w:r>
          </w:p>
        </w:tc>
        <w:tc>
          <w:tcPr>
            <w:tcW w:w="740" w:type="dxa"/>
            <w:tcBorders>
              <w:top w:val="nil"/>
              <w:left w:val="nil"/>
              <w:bottom w:val="single" w:sz="4" w:space="0" w:color="auto"/>
              <w:right w:val="single" w:sz="4" w:space="0" w:color="auto"/>
            </w:tcBorders>
            <w:shd w:val="clear" w:color="auto" w:fill="auto"/>
            <w:vAlign w:val="center"/>
            <w:hideMark/>
          </w:tcPr>
          <w:p w14:paraId="31A143E5"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6,3%</w:t>
            </w:r>
          </w:p>
        </w:tc>
        <w:tc>
          <w:tcPr>
            <w:tcW w:w="1440" w:type="dxa"/>
            <w:tcBorders>
              <w:top w:val="nil"/>
              <w:left w:val="nil"/>
              <w:bottom w:val="single" w:sz="4" w:space="0" w:color="auto"/>
              <w:right w:val="single" w:sz="4" w:space="0" w:color="auto"/>
            </w:tcBorders>
            <w:shd w:val="clear" w:color="auto" w:fill="auto"/>
            <w:vAlign w:val="center"/>
            <w:hideMark/>
          </w:tcPr>
          <w:p w14:paraId="12B68195"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Czech Republic</w:t>
            </w:r>
          </w:p>
        </w:tc>
        <w:tc>
          <w:tcPr>
            <w:tcW w:w="740" w:type="dxa"/>
            <w:tcBorders>
              <w:top w:val="nil"/>
              <w:left w:val="nil"/>
              <w:bottom w:val="single" w:sz="4" w:space="0" w:color="auto"/>
              <w:right w:val="single" w:sz="4" w:space="0" w:color="auto"/>
            </w:tcBorders>
            <w:shd w:val="clear" w:color="auto" w:fill="auto"/>
            <w:vAlign w:val="center"/>
            <w:hideMark/>
          </w:tcPr>
          <w:p w14:paraId="7E95FF5A"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14,3</w:t>
            </w:r>
          </w:p>
        </w:tc>
        <w:tc>
          <w:tcPr>
            <w:tcW w:w="740" w:type="dxa"/>
            <w:tcBorders>
              <w:top w:val="nil"/>
              <w:left w:val="nil"/>
              <w:bottom w:val="single" w:sz="4" w:space="0" w:color="auto"/>
              <w:right w:val="single" w:sz="4" w:space="0" w:color="auto"/>
            </w:tcBorders>
            <w:shd w:val="clear" w:color="auto" w:fill="auto"/>
            <w:vAlign w:val="center"/>
            <w:hideMark/>
          </w:tcPr>
          <w:p w14:paraId="5B7211CF"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3,8%</w:t>
            </w:r>
          </w:p>
        </w:tc>
      </w:tr>
      <w:tr w:rsidR="00C663D1" w:rsidRPr="00C663D1" w14:paraId="4B60DEDC" w14:textId="77777777" w:rsidTr="00C663D1">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2E382E3"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7</w:t>
            </w:r>
          </w:p>
        </w:tc>
        <w:tc>
          <w:tcPr>
            <w:tcW w:w="1440" w:type="dxa"/>
            <w:tcBorders>
              <w:top w:val="nil"/>
              <w:left w:val="nil"/>
              <w:bottom w:val="single" w:sz="4" w:space="0" w:color="auto"/>
              <w:right w:val="single" w:sz="4" w:space="0" w:color="auto"/>
            </w:tcBorders>
            <w:shd w:val="clear" w:color="auto" w:fill="auto"/>
            <w:vAlign w:val="center"/>
            <w:hideMark/>
          </w:tcPr>
          <w:p w14:paraId="5D210EDD"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South Korea</w:t>
            </w:r>
          </w:p>
        </w:tc>
        <w:tc>
          <w:tcPr>
            <w:tcW w:w="740" w:type="dxa"/>
            <w:tcBorders>
              <w:top w:val="nil"/>
              <w:left w:val="nil"/>
              <w:bottom w:val="single" w:sz="4" w:space="0" w:color="auto"/>
              <w:right w:val="single" w:sz="4" w:space="0" w:color="auto"/>
            </w:tcBorders>
            <w:shd w:val="clear" w:color="auto" w:fill="auto"/>
            <w:vAlign w:val="center"/>
            <w:hideMark/>
          </w:tcPr>
          <w:p w14:paraId="58440A4D"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4,1</w:t>
            </w:r>
          </w:p>
        </w:tc>
        <w:tc>
          <w:tcPr>
            <w:tcW w:w="740" w:type="dxa"/>
            <w:tcBorders>
              <w:top w:val="nil"/>
              <w:left w:val="nil"/>
              <w:bottom w:val="single" w:sz="4" w:space="0" w:color="auto"/>
              <w:right w:val="single" w:sz="4" w:space="0" w:color="auto"/>
            </w:tcBorders>
            <w:shd w:val="clear" w:color="auto" w:fill="auto"/>
            <w:vAlign w:val="center"/>
            <w:hideMark/>
          </w:tcPr>
          <w:p w14:paraId="454C19E4"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1,7%</w:t>
            </w:r>
          </w:p>
        </w:tc>
        <w:tc>
          <w:tcPr>
            <w:tcW w:w="1440" w:type="dxa"/>
            <w:tcBorders>
              <w:top w:val="nil"/>
              <w:left w:val="nil"/>
              <w:bottom w:val="single" w:sz="4" w:space="0" w:color="auto"/>
              <w:right w:val="single" w:sz="4" w:space="0" w:color="auto"/>
            </w:tcBorders>
            <w:shd w:val="clear" w:color="auto" w:fill="auto"/>
            <w:vAlign w:val="center"/>
            <w:hideMark/>
          </w:tcPr>
          <w:p w14:paraId="138A2B94"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United States</w:t>
            </w:r>
          </w:p>
        </w:tc>
        <w:tc>
          <w:tcPr>
            <w:tcW w:w="740" w:type="dxa"/>
            <w:tcBorders>
              <w:top w:val="nil"/>
              <w:left w:val="nil"/>
              <w:bottom w:val="single" w:sz="4" w:space="0" w:color="auto"/>
              <w:right w:val="single" w:sz="4" w:space="0" w:color="auto"/>
            </w:tcBorders>
            <w:shd w:val="clear" w:color="auto" w:fill="auto"/>
            <w:vAlign w:val="center"/>
            <w:hideMark/>
          </w:tcPr>
          <w:p w14:paraId="36B687E3"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44,2</w:t>
            </w:r>
          </w:p>
        </w:tc>
        <w:tc>
          <w:tcPr>
            <w:tcW w:w="740" w:type="dxa"/>
            <w:tcBorders>
              <w:top w:val="nil"/>
              <w:left w:val="nil"/>
              <w:bottom w:val="single" w:sz="4" w:space="0" w:color="auto"/>
              <w:right w:val="single" w:sz="4" w:space="0" w:color="auto"/>
            </w:tcBorders>
            <w:shd w:val="clear" w:color="auto" w:fill="auto"/>
            <w:vAlign w:val="center"/>
            <w:hideMark/>
          </w:tcPr>
          <w:p w14:paraId="1387CF02"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5,6%</w:t>
            </w:r>
          </w:p>
        </w:tc>
        <w:tc>
          <w:tcPr>
            <w:tcW w:w="1440" w:type="dxa"/>
            <w:tcBorders>
              <w:top w:val="nil"/>
              <w:left w:val="nil"/>
              <w:bottom w:val="single" w:sz="4" w:space="0" w:color="auto"/>
              <w:right w:val="single" w:sz="4" w:space="0" w:color="auto"/>
            </w:tcBorders>
            <w:shd w:val="clear" w:color="auto" w:fill="auto"/>
            <w:vAlign w:val="center"/>
            <w:hideMark/>
          </w:tcPr>
          <w:p w14:paraId="5C1D3466"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Netherlands</w:t>
            </w:r>
          </w:p>
        </w:tc>
        <w:tc>
          <w:tcPr>
            <w:tcW w:w="740" w:type="dxa"/>
            <w:tcBorders>
              <w:top w:val="nil"/>
              <w:left w:val="nil"/>
              <w:bottom w:val="single" w:sz="4" w:space="0" w:color="auto"/>
              <w:right w:val="single" w:sz="4" w:space="0" w:color="auto"/>
            </w:tcBorders>
            <w:shd w:val="clear" w:color="auto" w:fill="auto"/>
            <w:vAlign w:val="center"/>
            <w:hideMark/>
          </w:tcPr>
          <w:p w14:paraId="6770217E"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12,6</w:t>
            </w:r>
          </w:p>
        </w:tc>
        <w:tc>
          <w:tcPr>
            <w:tcW w:w="740" w:type="dxa"/>
            <w:tcBorders>
              <w:top w:val="nil"/>
              <w:left w:val="nil"/>
              <w:bottom w:val="single" w:sz="4" w:space="0" w:color="auto"/>
              <w:right w:val="single" w:sz="4" w:space="0" w:color="auto"/>
            </w:tcBorders>
            <w:shd w:val="clear" w:color="auto" w:fill="auto"/>
            <w:vAlign w:val="center"/>
            <w:hideMark/>
          </w:tcPr>
          <w:p w14:paraId="53C1C2F4"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3,4%</w:t>
            </w:r>
          </w:p>
        </w:tc>
      </w:tr>
      <w:tr w:rsidR="00C663D1" w:rsidRPr="00C663D1" w14:paraId="31C5B756" w14:textId="77777777" w:rsidTr="00C663D1">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E527E0E"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8</w:t>
            </w:r>
          </w:p>
        </w:tc>
        <w:tc>
          <w:tcPr>
            <w:tcW w:w="1440" w:type="dxa"/>
            <w:tcBorders>
              <w:top w:val="nil"/>
              <w:left w:val="nil"/>
              <w:bottom w:val="single" w:sz="4" w:space="0" w:color="auto"/>
              <w:right w:val="single" w:sz="4" w:space="0" w:color="auto"/>
            </w:tcBorders>
            <w:shd w:val="clear" w:color="auto" w:fill="auto"/>
            <w:vAlign w:val="center"/>
            <w:hideMark/>
          </w:tcPr>
          <w:p w14:paraId="1DBABAA7"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Singapore</w:t>
            </w:r>
          </w:p>
        </w:tc>
        <w:tc>
          <w:tcPr>
            <w:tcW w:w="740" w:type="dxa"/>
            <w:tcBorders>
              <w:top w:val="nil"/>
              <w:left w:val="nil"/>
              <w:bottom w:val="single" w:sz="4" w:space="0" w:color="auto"/>
              <w:right w:val="single" w:sz="4" w:space="0" w:color="auto"/>
            </w:tcBorders>
            <w:shd w:val="clear" w:color="auto" w:fill="auto"/>
            <w:vAlign w:val="center"/>
            <w:hideMark/>
          </w:tcPr>
          <w:p w14:paraId="1F974ACC"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3,97</w:t>
            </w:r>
          </w:p>
        </w:tc>
        <w:tc>
          <w:tcPr>
            <w:tcW w:w="740" w:type="dxa"/>
            <w:tcBorders>
              <w:top w:val="nil"/>
              <w:left w:val="nil"/>
              <w:bottom w:val="single" w:sz="4" w:space="0" w:color="auto"/>
              <w:right w:val="single" w:sz="4" w:space="0" w:color="auto"/>
            </w:tcBorders>
            <w:shd w:val="clear" w:color="auto" w:fill="auto"/>
            <w:vAlign w:val="center"/>
            <w:hideMark/>
          </w:tcPr>
          <w:p w14:paraId="0A1D3B72"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1,6%</w:t>
            </w:r>
          </w:p>
        </w:tc>
        <w:tc>
          <w:tcPr>
            <w:tcW w:w="1440" w:type="dxa"/>
            <w:tcBorders>
              <w:top w:val="nil"/>
              <w:left w:val="nil"/>
              <w:bottom w:val="single" w:sz="4" w:space="0" w:color="auto"/>
              <w:right w:val="single" w:sz="4" w:space="0" w:color="auto"/>
            </w:tcBorders>
            <w:shd w:val="clear" w:color="auto" w:fill="auto"/>
            <w:vAlign w:val="center"/>
            <w:hideMark/>
          </w:tcPr>
          <w:p w14:paraId="1E7E34E5"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Japan</w:t>
            </w:r>
          </w:p>
        </w:tc>
        <w:tc>
          <w:tcPr>
            <w:tcW w:w="740" w:type="dxa"/>
            <w:tcBorders>
              <w:top w:val="nil"/>
              <w:left w:val="nil"/>
              <w:bottom w:val="single" w:sz="4" w:space="0" w:color="auto"/>
              <w:right w:val="single" w:sz="4" w:space="0" w:color="auto"/>
            </w:tcBorders>
            <w:shd w:val="clear" w:color="auto" w:fill="auto"/>
            <w:vAlign w:val="center"/>
            <w:hideMark/>
          </w:tcPr>
          <w:p w14:paraId="6ABFFCAC"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28,9</w:t>
            </w:r>
          </w:p>
        </w:tc>
        <w:tc>
          <w:tcPr>
            <w:tcW w:w="740" w:type="dxa"/>
            <w:tcBorders>
              <w:top w:val="nil"/>
              <w:left w:val="nil"/>
              <w:bottom w:val="single" w:sz="4" w:space="0" w:color="auto"/>
              <w:right w:val="single" w:sz="4" w:space="0" w:color="auto"/>
            </w:tcBorders>
            <w:shd w:val="clear" w:color="auto" w:fill="auto"/>
            <w:vAlign w:val="center"/>
            <w:hideMark/>
          </w:tcPr>
          <w:p w14:paraId="624D3743"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3,7%</w:t>
            </w:r>
          </w:p>
        </w:tc>
        <w:tc>
          <w:tcPr>
            <w:tcW w:w="1440" w:type="dxa"/>
            <w:tcBorders>
              <w:top w:val="nil"/>
              <w:left w:val="nil"/>
              <w:bottom w:val="single" w:sz="4" w:space="0" w:color="auto"/>
              <w:right w:val="single" w:sz="4" w:space="0" w:color="auto"/>
            </w:tcBorders>
            <w:shd w:val="clear" w:color="auto" w:fill="auto"/>
            <w:vAlign w:val="center"/>
            <w:hideMark/>
          </w:tcPr>
          <w:p w14:paraId="474DEAF1"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Thailand</w:t>
            </w:r>
          </w:p>
        </w:tc>
        <w:tc>
          <w:tcPr>
            <w:tcW w:w="740" w:type="dxa"/>
            <w:tcBorders>
              <w:top w:val="nil"/>
              <w:left w:val="nil"/>
              <w:bottom w:val="single" w:sz="4" w:space="0" w:color="auto"/>
              <w:right w:val="single" w:sz="4" w:space="0" w:color="auto"/>
            </w:tcBorders>
            <w:shd w:val="clear" w:color="auto" w:fill="auto"/>
            <w:vAlign w:val="center"/>
            <w:hideMark/>
          </w:tcPr>
          <w:p w14:paraId="133B0515"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11,7</w:t>
            </w:r>
          </w:p>
        </w:tc>
        <w:tc>
          <w:tcPr>
            <w:tcW w:w="740" w:type="dxa"/>
            <w:tcBorders>
              <w:top w:val="nil"/>
              <w:left w:val="nil"/>
              <w:bottom w:val="single" w:sz="4" w:space="0" w:color="auto"/>
              <w:right w:val="single" w:sz="4" w:space="0" w:color="auto"/>
            </w:tcBorders>
            <w:shd w:val="clear" w:color="auto" w:fill="auto"/>
            <w:vAlign w:val="center"/>
            <w:hideMark/>
          </w:tcPr>
          <w:p w14:paraId="5A3EAED3"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3,1%</w:t>
            </w:r>
          </w:p>
        </w:tc>
      </w:tr>
      <w:tr w:rsidR="00C663D1" w:rsidRPr="00C663D1" w14:paraId="5636915B" w14:textId="77777777" w:rsidTr="00C663D1">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9171A30"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9</w:t>
            </w:r>
          </w:p>
        </w:tc>
        <w:tc>
          <w:tcPr>
            <w:tcW w:w="1440" w:type="dxa"/>
            <w:tcBorders>
              <w:top w:val="nil"/>
              <w:left w:val="nil"/>
              <w:bottom w:val="single" w:sz="4" w:space="0" w:color="auto"/>
              <w:right w:val="single" w:sz="4" w:space="0" w:color="auto"/>
            </w:tcBorders>
            <w:shd w:val="clear" w:color="auto" w:fill="auto"/>
            <w:vAlign w:val="center"/>
            <w:hideMark/>
          </w:tcPr>
          <w:p w14:paraId="565462E7"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Slovakia</w:t>
            </w:r>
          </w:p>
        </w:tc>
        <w:tc>
          <w:tcPr>
            <w:tcW w:w="740" w:type="dxa"/>
            <w:tcBorders>
              <w:top w:val="nil"/>
              <w:left w:val="nil"/>
              <w:bottom w:val="single" w:sz="4" w:space="0" w:color="auto"/>
              <w:right w:val="single" w:sz="4" w:space="0" w:color="auto"/>
            </w:tcBorders>
            <w:shd w:val="clear" w:color="auto" w:fill="auto"/>
            <w:vAlign w:val="center"/>
            <w:hideMark/>
          </w:tcPr>
          <w:p w14:paraId="7E630BFC"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3,61</w:t>
            </w:r>
          </w:p>
        </w:tc>
        <w:tc>
          <w:tcPr>
            <w:tcW w:w="740" w:type="dxa"/>
            <w:tcBorders>
              <w:top w:val="nil"/>
              <w:left w:val="nil"/>
              <w:bottom w:val="single" w:sz="4" w:space="0" w:color="auto"/>
              <w:right w:val="single" w:sz="4" w:space="0" w:color="auto"/>
            </w:tcBorders>
            <w:shd w:val="clear" w:color="auto" w:fill="auto"/>
            <w:vAlign w:val="center"/>
            <w:hideMark/>
          </w:tcPr>
          <w:p w14:paraId="38CFBB1B"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1,5%</w:t>
            </w:r>
          </w:p>
        </w:tc>
        <w:tc>
          <w:tcPr>
            <w:tcW w:w="1440" w:type="dxa"/>
            <w:tcBorders>
              <w:top w:val="nil"/>
              <w:left w:val="nil"/>
              <w:bottom w:val="single" w:sz="4" w:space="0" w:color="auto"/>
              <w:right w:val="single" w:sz="4" w:space="0" w:color="auto"/>
            </w:tcBorders>
            <w:shd w:val="clear" w:color="auto" w:fill="auto"/>
            <w:vAlign w:val="center"/>
            <w:hideMark/>
          </w:tcPr>
          <w:p w14:paraId="1449DEB1"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Philippines</w:t>
            </w:r>
          </w:p>
        </w:tc>
        <w:tc>
          <w:tcPr>
            <w:tcW w:w="740" w:type="dxa"/>
            <w:tcBorders>
              <w:top w:val="nil"/>
              <w:left w:val="nil"/>
              <w:bottom w:val="single" w:sz="4" w:space="0" w:color="auto"/>
              <w:right w:val="single" w:sz="4" w:space="0" w:color="auto"/>
            </w:tcBorders>
            <w:shd w:val="clear" w:color="auto" w:fill="auto"/>
            <w:vAlign w:val="center"/>
            <w:hideMark/>
          </w:tcPr>
          <w:p w14:paraId="70F0E4A5"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20,2</w:t>
            </w:r>
          </w:p>
        </w:tc>
        <w:tc>
          <w:tcPr>
            <w:tcW w:w="740" w:type="dxa"/>
            <w:tcBorders>
              <w:top w:val="nil"/>
              <w:left w:val="nil"/>
              <w:bottom w:val="single" w:sz="4" w:space="0" w:color="auto"/>
              <w:right w:val="single" w:sz="4" w:space="0" w:color="auto"/>
            </w:tcBorders>
            <w:shd w:val="clear" w:color="auto" w:fill="auto"/>
            <w:vAlign w:val="center"/>
            <w:hideMark/>
          </w:tcPr>
          <w:p w14:paraId="64807E8F"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2,6%</w:t>
            </w:r>
          </w:p>
        </w:tc>
        <w:tc>
          <w:tcPr>
            <w:tcW w:w="1440" w:type="dxa"/>
            <w:tcBorders>
              <w:top w:val="nil"/>
              <w:left w:val="nil"/>
              <w:bottom w:val="single" w:sz="4" w:space="0" w:color="auto"/>
              <w:right w:val="single" w:sz="4" w:space="0" w:color="auto"/>
            </w:tcBorders>
            <w:shd w:val="clear" w:color="auto" w:fill="auto"/>
            <w:vAlign w:val="center"/>
            <w:hideMark/>
          </w:tcPr>
          <w:p w14:paraId="30840E17"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Taiwan</w:t>
            </w:r>
          </w:p>
        </w:tc>
        <w:tc>
          <w:tcPr>
            <w:tcW w:w="740" w:type="dxa"/>
            <w:tcBorders>
              <w:top w:val="nil"/>
              <w:left w:val="nil"/>
              <w:bottom w:val="single" w:sz="4" w:space="0" w:color="auto"/>
              <w:right w:val="single" w:sz="4" w:space="0" w:color="auto"/>
            </w:tcBorders>
            <w:shd w:val="clear" w:color="auto" w:fill="auto"/>
            <w:vAlign w:val="center"/>
            <w:hideMark/>
          </w:tcPr>
          <w:p w14:paraId="551D4F89"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10,6</w:t>
            </w:r>
          </w:p>
        </w:tc>
        <w:tc>
          <w:tcPr>
            <w:tcW w:w="740" w:type="dxa"/>
            <w:tcBorders>
              <w:top w:val="nil"/>
              <w:left w:val="nil"/>
              <w:bottom w:val="single" w:sz="4" w:space="0" w:color="auto"/>
              <w:right w:val="single" w:sz="4" w:space="0" w:color="auto"/>
            </w:tcBorders>
            <w:shd w:val="clear" w:color="auto" w:fill="auto"/>
            <w:vAlign w:val="center"/>
            <w:hideMark/>
          </w:tcPr>
          <w:p w14:paraId="60812A09"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2,8%</w:t>
            </w:r>
          </w:p>
        </w:tc>
      </w:tr>
      <w:tr w:rsidR="00C663D1" w:rsidRPr="00C663D1" w14:paraId="691D9BDA" w14:textId="77777777" w:rsidTr="00C663D1">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6733417"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10</w:t>
            </w:r>
          </w:p>
        </w:tc>
        <w:tc>
          <w:tcPr>
            <w:tcW w:w="1440" w:type="dxa"/>
            <w:tcBorders>
              <w:top w:val="nil"/>
              <w:left w:val="nil"/>
              <w:bottom w:val="single" w:sz="4" w:space="0" w:color="auto"/>
              <w:right w:val="single" w:sz="4" w:space="0" w:color="auto"/>
            </w:tcBorders>
            <w:shd w:val="clear" w:color="auto" w:fill="auto"/>
            <w:vAlign w:val="center"/>
            <w:hideMark/>
          </w:tcPr>
          <w:p w14:paraId="0CA21CA4"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Austria</w:t>
            </w:r>
          </w:p>
        </w:tc>
        <w:tc>
          <w:tcPr>
            <w:tcW w:w="740" w:type="dxa"/>
            <w:tcBorders>
              <w:top w:val="nil"/>
              <w:left w:val="nil"/>
              <w:bottom w:val="single" w:sz="4" w:space="0" w:color="auto"/>
              <w:right w:val="single" w:sz="4" w:space="0" w:color="auto"/>
            </w:tcBorders>
            <w:shd w:val="clear" w:color="auto" w:fill="auto"/>
            <w:vAlign w:val="center"/>
            <w:hideMark/>
          </w:tcPr>
          <w:p w14:paraId="42318197"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3,4</w:t>
            </w:r>
          </w:p>
        </w:tc>
        <w:tc>
          <w:tcPr>
            <w:tcW w:w="740" w:type="dxa"/>
            <w:tcBorders>
              <w:top w:val="nil"/>
              <w:left w:val="nil"/>
              <w:bottom w:val="single" w:sz="4" w:space="0" w:color="auto"/>
              <w:right w:val="single" w:sz="4" w:space="0" w:color="auto"/>
            </w:tcBorders>
            <w:shd w:val="clear" w:color="auto" w:fill="auto"/>
            <w:vAlign w:val="center"/>
            <w:hideMark/>
          </w:tcPr>
          <w:p w14:paraId="004558AC"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1,4%</w:t>
            </w:r>
          </w:p>
        </w:tc>
        <w:tc>
          <w:tcPr>
            <w:tcW w:w="1440" w:type="dxa"/>
            <w:tcBorders>
              <w:top w:val="nil"/>
              <w:left w:val="nil"/>
              <w:bottom w:val="single" w:sz="4" w:space="0" w:color="auto"/>
              <w:right w:val="single" w:sz="4" w:space="0" w:color="auto"/>
            </w:tcBorders>
            <w:shd w:val="clear" w:color="000000" w:fill="D9D9D9"/>
            <w:vAlign w:val="center"/>
            <w:hideMark/>
          </w:tcPr>
          <w:p w14:paraId="7F6777A7"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Vietnam</w:t>
            </w:r>
          </w:p>
        </w:tc>
        <w:tc>
          <w:tcPr>
            <w:tcW w:w="740" w:type="dxa"/>
            <w:tcBorders>
              <w:top w:val="nil"/>
              <w:left w:val="nil"/>
              <w:bottom w:val="single" w:sz="4" w:space="0" w:color="auto"/>
              <w:right w:val="single" w:sz="4" w:space="0" w:color="auto"/>
            </w:tcBorders>
            <w:shd w:val="clear" w:color="auto" w:fill="auto"/>
            <w:vAlign w:val="center"/>
            <w:hideMark/>
          </w:tcPr>
          <w:p w14:paraId="3F663236"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14</w:t>
            </w:r>
          </w:p>
        </w:tc>
        <w:tc>
          <w:tcPr>
            <w:tcW w:w="740" w:type="dxa"/>
            <w:tcBorders>
              <w:top w:val="nil"/>
              <w:left w:val="nil"/>
              <w:bottom w:val="single" w:sz="4" w:space="0" w:color="auto"/>
              <w:right w:val="single" w:sz="4" w:space="0" w:color="auto"/>
            </w:tcBorders>
            <w:shd w:val="clear" w:color="auto" w:fill="auto"/>
            <w:vAlign w:val="center"/>
            <w:hideMark/>
          </w:tcPr>
          <w:p w14:paraId="4EA12319"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1,8%</w:t>
            </w:r>
          </w:p>
        </w:tc>
        <w:tc>
          <w:tcPr>
            <w:tcW w:w="1440" w:type="dxa"/>
            <w:tcBorders>
              <w:top w:val="nil"/>
              <w:left w:val="nil"/>
              <w:bottom w:val="single" w:sz="4" w:space="0" w:color="auto"/>
              <w:right w:val="single" w:sz="4" w:space="0" w:color="auto"/>
            </w:tcBorders>
            <w:shd w:val="clear" w:color="auto" w:fill="auto"/>
            <w:vAlign w:val="center"/>
            <w:hideMark/>
          </w:tcPr>
          <w:p w14:paraId="16CC5BFD"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Singapore</w:t>
            </w:r>
          </w:p>
        </w:tc>
        <w:tc>
          <w:tcPr>
            <w:tcW w:w="740" w:type="dxa"/>
            <w:tcBorders>
              <w:top w:val="nil"/>
              <w:left w:val="nil"/>
              <w:bottom w:val="single" w:sz="4" w:space="0" w:color="auto"/>
              <w:right w:val="single" w:sz="4" w:space="0" w:color="auto"/>
            </w:tcBorders>
            <w:shd w:val="clear" w:color="auto" w:fill="auto"/>
            <w:vAlign w:val="center"/>
            <w:hideMark/>
          </w:tcPr>
          <w:p w14:paraId="38F1AD96"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7,3</w:t>
            </w:r>
          </w:p>
        </w:tc>
        <w:tc>
          <w:tcPr>
            <w:tcW w:w="740" w:type="dxa"/>
            <w:tcBorders>
              <w:top w:val="nil"/>
              <w:left w:val="nil"/>
              <w:bottom w:val="single" w:sz="4" w:space="0" w:color="auto"/>
              <w:right w:val="single" w:sz="4" w:space="0" w:color="auto"/>
            </w:tcBorders>
            <w:shd w:val="clear" w:color="auto" w:fill="auto"/>
            <w:vAlign w:val="center"/>
            <w:hideMark/>
          </w:tcPr>
          <w:p w14:paraId="2A9D2192"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1,9%</w:t>
            </w:r>
          </w:p>
        </w:tc>
      </w:tr>
      <w:tr w:rsidR="00C663D1" w:rsidRPr="00C663D1" w14:paraId="4CF4271A" w14:textId="77777777" w:rsidTr="00C663D1">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FF0F4C8"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11</w:t>
            </w:r>
          </w:p>
        </w:tc>
        <w:tc>
          <w:tcPr>
            <w:tcW w:w="1440" w:type="dxa"/>
            <w:tcBorders>
              <w:top w:val="nil"/>
              <w:left w:val="nil"/>
              <w:bottom w:val="single" w:sz="4" w:space="0" w:color="auto"/>
              <w:right w:val="single" w:sz="4" w:space="0" w:color="auto"/>
            </w:tcBorders>
            <w:shd w:val="clear" w:color="auto" w:fill="auto"/>
            <w:vAlign w:val="center"/>
            <w:hideMark/>
          </w:tcPr>
          <w:p w14:paraId="49EB566D"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India</w:t>
            </w:r>
          </w:p>
        </w:tc>
        <w:tc>
          <w:tcPr>
            <w:tcW w:w="740" w:type="dxa"/>
            <w:tcBorders>
              <w:top w:val="nil"/>
              <w:left w:val="nil"/>
              <w:bottom w:val="single" w:sz="4" w:space="0" w:color="auto"/>
              <w:right w:val="single" w:sz="4" w:space="0" w:color="auto"/>
            </w:tcBorders>
            <w:shd w:val="clear" w:color="auto" w:fill="auto"/>
            <w:vAlign w:val="center"/>
            <w:hideMark/>
          </w:tcPr>
          <w:p w14:paraId="645F6F28"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3</w:t>
            </w:r>
          </w:p>
        </w:tc>
        <w:tc>
          <w:tcPr>
            <w:tcW w:w="740" w:type="dxa"/>
            <w:tcBorders>
              <w:top w:val="nil"/>
              <w:left w:val="nil"/>
              <w:bottom w:val="single" w:sz="4" w:space="0" w:color="auto"/>
              <w:right w:val="single" w:sz="4" w:space="0" w:color="auto"/>
            </w:tcBorders>
            <w:shd w:val="clear" w:color="auto" w:fill="auto"/>
            <w:vAlign w:val="center"/>
            <w:hideMark/>
          </w:tcPr>
          <w:p w14:paraId="3C385063"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1,2%</w:t>
            </w:r>
          </w:p>
        </w:tc>
        <w:tc>
          <w:tcPr>
            <w:tcW w:w="1440" w:type="dxa"/>
            <w:tcBorders>
              <w:top w:val="nil"/>
              <w:left w:val="nil"/>
              <w:bottom w:val="single" w:sz="4" w:space="0" w:color="auto"/>
              <w:right w:val="single" w:sz="4" w:space="0" w:color="auto"/>
            </w:tcBorders>
            <w:shd w:val="clear" w:color="auto" w:fill="auto"/>
            <w:vAlign w:val="center"/>
            <w:hideMark/>
          </w:tcPr>
          <w:p w14:paraId="5770AD4C"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Germany</w:t>
            </w:r>
          </w:p>
        </w:tc>
        <w:tc>
          <w:tcPr>
            <w:tcW w:w="740" w:type="dxa"/>
            <w:tcBorders>
              <w:top w:val="nil"/>
              <w:left w:val="nil"/>
              <w:bottom w:val="single" w:sz="4" w:space="0" w:color="auto"/>
              <w:right w:val="single" w:sz="4" w:space="0" w:color="auto"/>
            </w:tcBorders>
            <w:shd w:val="clear" w:color="auto" w:fill="auto"/>
            <w:vAlign w:val="center"/>
            <w:hideMark/>
          </w:tcPr>
          <w:p w14:paraId="18B51374"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12,7</w:t>
            </w:r>
          </w:p>
        </w:tc>
        <w:tc>
          <w:tcPr>
            <w:tcW w:w="740" w:type="dxa"/>
            <w:tcBorders>
              <w:top w:val="nil"/>
              <w:left w:val="nil"/>
              <w:bottom w:val="single" w:sz="4" w:space="0" w:color="auto"/>
              <w:right w:val="single" w:sz="4" w:space="0" w:color="auto"/>
            </w:tcBorders>
            <w:shd w:val="clear" w:color="auto" w:fill="auto"/>
            <w:vAlign w:val="center"/>
            <w:hideMark/>
          </w:tcPr>
          <w:p w14:paraId="75B8109F"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1,6%</w:t>
            </w:r>
          </w:p>
        </w:tc>
        <w:tc>
          <w:tcPr>
            <w:tcW w:w="1440" w:type="dxa"/>
            <w:tcBorders>
              <w:top w:val="nil"/>
              <w:left w:val="nil"/>
              <w:bottom w:val="single" w:sz="4" w:space="0" w:color="auto"/>
              <w:right w:val="single" w:sz="4" w:space="0" w:color="auto"/>
            </w:tcBorders>
            <w:shd w:val="clear" w:color="auto" w:fill="auto"/>
            <w:vAlign w:val="center"/>
            <w:hideMark/>
          </w:tcPr>
          <w:p w14:paraId="3162888B"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Poland</w:t>
            </w:r>
          </w:p>
        </w:tc>
        <w:tc>
          <w:tcPr>
            <w:tcW w:w="740" w:type="dxa"/>
            <w:tcBorders>
              <w:top w:val="nil"/>
              <w:left w:val="nil"/>
              <w:bottom w:val="single" w:sz="4" w:space="0" w:color="auto"/>
              <w:right w:val="single" w:sz="4" w:space="0" w:color="auto"/>
            </w:tcBorders>
            <w:shd w:val="clear" w:color="auto" w:fill="auto"/>
            <w:vAlign w:val="center"/>
            <w:hideMark/>
          </w:tcPr>
          <w:p w14:paraId="2C1CFBD0"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6,2</w:t>
            </w:r>
          </w:p>
        </w:tc>
        <w:tc>
          <w:tcPr>
            <w:tcW w:w="740" w:type="dxa"/>
            <w:tcBorders>
              <w:top w:val="nil"/>
              <w:left w:val="nil"/>
              <w:bottom w:val="single" w:sz="4" w:space="0" w:color="auto"/>
              <w:right w:val="single" w:sz="4" w:space="0" w:color="auto"/>
            </w:tcBorders>
            <w:shd w:val="clear" w:color="auto" w:fill="auto"/>
            <w:vAlign w:val="center"/>
            <w:hideMark/>
          </w:tcPr>
          <w:p w14:paraId="6EF520B1"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1,7%</w:t>
            </w:r>
          </w:p>
        </w:tc>
      </w:tr>
      <w:tr w:rsidR="00C663D1" w:rsidRPr="00C663D1" w14:paraId="38561ABE" w14:textId="77777777" w:rsidTr="00C663D1">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D8CF393"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12</w:t>
            </w:r>
          </w:p>
        </w:tc>
        <w:tc>
          <w:tcPr>
            <w:tcW w:w="1440" w:type="dxa"/>
            <w:tcBorders>
              <w:top w:val="nil"/>
              <w:left w:val="nil"/>
              <w:bottom w:val="single" w:sz="4" w:space="0" w:color="auto"/>
              <w:right w:val="single" w:sz="4" w:space="0" w:color="auto"/>
            </w:tcBorders>
            <w:shd w:val="clear" w:color="auto" w:fill="auto"/>
            <w:vAlign w:val="center"/>
            <w:hideMark/>
          </w:tcPr>
          <w:p w14:paraId="33693428"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Netherlands</w:t>
            </w:r>
          </w:p>
        </w:tc>
        <w:tc>
          <w:tcPr>
            <w:tcW w:w="740" w:type="dxa"/>
            <w:tcBorders>
              <w:top w:val="nil"/>
              <w:left w:val="nil"/>
              <w:bottom w:val="single" w:sz="4" w:space="0" w:color="auto"/>
              <w:right w:val="single" w:sz="4" w:space="0" w:color="auto"/>
            </w:tcBorders>
            <w:shd w:val="clear" w:color="auto" w:fill="auto"/>
            <w:vAlign w:val="center"/>
            <w:hideMark/>
          </w:tcPr>
          <w:p w14:paraId="6602AFA1"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2,5</w:t>
            </w:r>
          </w:p>
        </w:tc>
        <w:tc>
          <w:tcPr>
            <w:tcW w:w="740" w:type="dxa"/>
            <w:tcBorders>
              <w:top w:val="nil"/>
              <w:left w:val="nil"/>
              <w:bottom w:val="single" w:sz="4" w:space="0" w:color="auto"/>
              <w:right w:val="single" w:sz="4" w:space="0" w:color="auto"/>
            </w:tcBorders>
            <w:shd w:val="clear" w:color="auto" w:fill="auto"/>
            <w:vAlign w:val="center"/>
            <w:hideMark/>
          </w:tcPr>
          <w:p w14:paraId="1018B02C"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1,0%</w:t>
            </w:r>
          </w:p>
        </w:tc>
        <w:tc>
          <w:tcPr>
            <w:tcW w:w="1440" w:type="dxa"/>
            <w:tcBorders>
              <w:top w:val="nil"/>
              <w:left w:val="nil"/>
              <w:bottom w:val="single" w:sz="4" w:space="0" w:color="auto"/>
              <w:right w:val="single" w:sz="4" w:space="0" w:color="auto"/>
            </w:tcBorders>
            <w:shd w:val="clear" w:color="auto" w:fill="auto"/>
            <w:vAlign w:val="center"/>
            <w:hideMark/>
          </w:tcPr>
          <w:p w14:paraId="1E2B450E"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Netherlands</w:t>
            </w:r>
          </w:p>
        </w:tc>
        <w:tc>
          <w:tcPr>
            <w:tcW w:w="740" w:type="dxa"/>
            <w:tcBorders>
              <w:top w:val="nil"/>
              <w:left w:val="nil"/>
              <w:bottom w:val="single" w:sz="4" w:space="0" w:color="auto"/>
              <w:right w:val="single" w:sz="4" w:space="0" w:color="auto"/>
            </w:tcBorders>
            <w:shd w:val="clear" w:color="auto" w:fill="auto"/>
            <w:vAlign w:val="center"/>
            <w:hideMark/>
          </w:tcPr>
          <w:p w14:paraId="7D04DEFB"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11,6</w:t>
            </w:r>
          </w:p>
        </w:tc>
        <w:tc>
          <w:tcPr>
            <w:tcW w:w="740" w:type="dxa"/>
            <w:tcBorders>
              <w:top w:val="nil"/>
              <w:left w:val="nil"/>
              <w:bottom w:val="single" w:sz="4" w:space="0" w:color="auto"/>
              <w:right w:val="single" w:sz="4" w:space="0" w:color="auto"/>
            </w:tcBorders>
            <w:shd w:val="clear" w:color="auto" w:fill="auto"/>
            <w:vAlign w:val="center"/>
            <w:hideMark/>
          </w:tcPr>
          <w:p w14:paraId="3EEB4C87"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1,5%</w:t>
            </w:r>
          </w:p>
        </w:tc>
        <w:tc>
          <w:tcPr>
            <w:tcW w:w="1440" w:type="dxa"/>
            <w:tcBorders>
              <w:top w:val="nil"/>
              <w:left w:val="nil"/>
              <w:bottom w:val="single" w:sz="4" w:space="0" w:color="auto"/>
              <w:right w:val="single" w:sz="4" w:space="0" w:color="auto"/>
            </w:tcBorders>
            <w:shd w:val="clear" w:color="000000" w:fill="D9D9D9"/>
            <w:vAlign w:val="center"/>
            <w:hideMark/>
          </w:tcPr>
          <w:p w14:paraId="63E3AEEF"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Vietnam</w:t>
            </w:r>
          </w:p>
        </w:tc>
        <w:tc>
          <w:tcPr>
            <w:tcW w:w="740" w:type="dxa"/>
            <w:tcBorders>
              <w:top w:val="nil"/>
              <w:left w:val="nil"/>
              <w:bottom w:val="single" w:sz="4" w:space="0" w:color="auto"/>
              <w:right w:val="single" w:sz="4" w:space="0" w:color="auto"/>
            </w:tcBorders>
            <w:shd w:val="clear" w:color="auto" w:fill="auto"/>
            <w:vAlign w:val="center"/>
            <w:hideMark/>
          </w:tcPr>
          <w:p w14:paraId="30BAE323"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5,5</w:t>
            </w:r>
          </w:p>
        </w:tc>
        <w:tc>
          <w:tcPr>
            <w:tcW w:w="740" w:type="dxa"/>
            <w:tcBorders>
              <w:top w:val="nil"/>
              <w:left w:val="nil"/>
              <w:bottom w:val="single" w:sz="4" w:space="0" w:color="auto"/>
              <w:right w:val="single" w:sz="4" w:space="0" w:color="auto"/>
            </w:tcBorders>
            <w:shd w:val="clear" w:color="auto" w:fill="auto"/>
            <w:vAlign w:val="center"/>
            <w:hideMark/>
          </w:tcPr>
          <w:p w14:paraId="0CA8872A"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1,5%</w:t>
            </w:r>
          </w:p>
        </w:tc>
      </w:tr>
      <w:tr w:rsidR="00C663D1" w:rsidRPr="00C663D1" w14:paraId="2B374A8B" w14:textId="77777777" w:rsidTr="00C663D1">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A4CC59C"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13</w:t>
            </w:r>
          </w:p>
        </w:tc>
        <w:tc>
          <w:tcPr>
            <w:tcW w:w="1440" w:type="dxa"/>
            <w:tcBorders>
              <w:top w:val="nil"/>
              <w:left w:val="nil"/>
              <w:bottom w:val="single" w:sz="4" w:space="0" w:color="auto"/>
              <w:right w:val="single" w:sz="4" w:space="0" w:color="auto"/>
            </w:tcBorders>
            <w:shd w:val="clear" w:color="auto" w:fill="auto"/>
            <w:vAlign w:val="center"/>
            <w:hideMark/>
          </w:tcPr>
          <w:p w14:paraId="4E45E2AA"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Sweden</w:t>
            </w:r>
          </w:p>
        </w:tc>
        <w:tc>
          <w:tcPr>
            <w:tcW w:w="740" w:type="dxa"/>
            <w:tcBorders>
              <w:top w:val="nil"/>
              <w:left w:val="nil"/>
              <w:bottom w:val="single" w:sz="4" w:space="0" w:color="auto"/>
              <w:right w:val="single" w:sz="4" w:space="0" w:color="auto"/>
            </w:tcBorders>
            <w:shd w:val="clear" w:color="auto" w:fill="auto"/>
            <w:vAlign w:val="center"/>
            <w:hideMark/>
          </w:tcPr>
          <w:p w14:paraId="6A156A4C"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2,4</w:t>
            </w:r>
          </w:p>
        </w:tc>
        <w:tc>
          <w:tcPr>
            <w:tcW w:w="740" w:type="dxa"/>
            <w:tcBorders>
              <w:top w:val="nil"/>
              <w:left w:val="nil"/>
              <w:bottom w:val="single" w:sz="4" w:space="0" w:color="auto"/>
              <w:right w:val="single" w:sz="4" w:space="0" w:color="auto"/>
            </w:tcBorders>
            <w:shd w:val="clear" w:color="auto" w:fill="auto"/>
            <w:vAlign w:val="center"/>
            <w:hideMark/>
          </w:tcPr>
          <w:p w14:paraId="529BDDF2"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1,0%</w:t>
            </w:r>
          </w:p>
        </w:tc>
        <w:tc>
          <w:tcPr>
            <w:tcW w:w="1440" w:type="dxa"/>
            <w:tcBorders>
              <w:top w:val="nil"/>
              <w:left w:val="nil"/>
              <w:bottom w:val="single" w:sz="4" w:space="0" w:color="auto"/>
              <w:right w:val="single" w:sz="4" w:space="0" w:color="auto"/>
            </w:tcBorders>
            <w:shd w:val="clear" w:color="auto" w:fill="auto"/>
            <w:vAlign w:val="center"/>
            <w:hideMark/>
          </w:tcPr>
          <w:p w14:paraId="409E5BD0"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Ireland</w:t>
            </w:r>
          </w:p>
        </w:tc>
        <w:tc>
          <w:tcPr>
            <w:tcW w:w="740" w:type="dxa"/>
            <w:tcBorders>
              <w:top w:val="nil"/>
              <w:left w:val="nil"/>
              <w:bottom w:val="single" w:sz="4" w:space="0" w:color="auto"/>
              <w:right w:val="single" w:sz="4" w:space="0" w:color="auto"/>
            </w:tcBorders>
            <w:shd w:val="clear" w:color="auto" w:fill="auto"/>
            <w:vAlign w:val="center"/>
            <w:hideMark/>
          </w:tcPr>
          <w:p w14:paraId="16351EAB"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8,2</w:t>
            </w:r>
          </w:p>
        </w:tc>
        <w:tc>
          <w:tcPr>
            <w:tcW w:w="740" w:type="dxa"/>
            <w:tcBorders>
              <w:top w:val="nil"/>
              <w:left w:val="nil"/>
              <w:bottom w:val="single" w:sz="4" w:space="0" w:color="auto"/>
              <w:right w:val="single" w:sz="4" w:space="0" w:color="auto"/>
            </w:tcBorders>
            <w:shd w:val="clear" w:color="auto" w:fill="auto"/>
            <w:vAlign w:val="center"/>
            <w:hideMark/>
          </w:tcPr>
          <w:p w14:paraId="0EE65360"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1,0%</w:t>
            </w:r>
          </w:p>
        </w:tc>
        <w:tc>
          <w:tcPr>
            <w:tcW w:w="1440" w:type="dxa"/>
            <w:tcBorders>
              <w:top w:val="nil"/>
              <w:left w:val="nil"/>
              <w:bottom w:val="single" w:sz="4" w:space="0" w:color="auto"/>
              <w:right w:val="single" w:sz="4" w:space="0" w:color="auto"/>
            </w:tcBorders>
            <w:shd w:val="clear" w:color="auto" w:fill="auto"/>
            <w:vAlign w:val="center"/>
            <w:hideMark/>
          </w:tcPr>
          <w:p w14:paraId="351947C4"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Malaysia</w:t>
            </w:r>
          </w:p>
        </w:tc>
        <w:tc>
          <w:tcPr>
            <w:tcW w:w="740" w:type="dxa"/>
            <w:tcBorders>
              <w:top w:val="nil"/>
              <w:left w:val="nil"/>
              <w:bottom w:val="single" w:sz="4" w:space="0" w:color="auto"/>
              <w:right w:val="single" w:sz="4" w:space="0" w:color="auto"/>
            </w:tcBorders>
            <w:shd w:val="clear" w:color="auto" w:fill="auto"/>
            <w:vAlign w:val="center"/>
            <w:hideMark/>
          </w:tcPr>
          <w:p w14:paraId="25E30565"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5</w:t>
            </w:r>
          </w:p>
        </w:tc>
        <w:tc>
          <w:tcPr>
            <w:tcW w:w="740" w:type="dxa"/>
            <w:tcBorders>
              <w:top w:val="nil"/>
              <w:left w:val="nil"/>
              <w:bottom w:val="single" w:sz="4" w:space="0" w:color="auto"/>
              <w:right w:val="single" w:sz="4" w:space="0" w:color="auto"/>
            </w:tcBorders>
            <w:shd w:val="clear" w:color="auto" w:fill="auto"/>
            <w:vAlign w:val="center"/>
            <w:hideMark/>
          </w:tcPr>
          <w:p w14:paraId="1152A958"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1,3%</w:t>
            </w:r>
          </w:p>
        </w:tc>
      </w:tr>
      <w:tr w:rsidR="00C663D1" w:rsidRPr="00C663D1" w14:paraId="26AD931A" w14:textId="77777777" w:rsidTr="00C663D1">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3338B78"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14</w:t>
            </w:r>
          </w:p>
        </w:tc>
        <w:tc>
          <w:tcPr>
            <w:tcW w:w="1440" w:type="dxa"/>
            <w:tcBorders>
              <w:top w:val="nil"/>
              <w:left w:val="nil"/>
              <w:bottom w:val="single" w:sz="4" w:space="0" w:color="auto"/>
              <w:right w:val="single" w:sz="4" w:space="0" w:color="auto"/>
            </w:tcBorders>
            <w:shd w:val="clear" w:color="auto" w:fill="auto"/>
            <w:vAlign w:val="center"/>
            <w:hideMark/>
          </w:tcPr>
          <w:p w14:paraId="6B7A2D51"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Italy</w:t>
            </w:r>
          </w:p>
        </w:tc>
        <w:tc>
          <w:tcPr>
            <w:tcW w:w="740" w:type="dxa"/>
            <w:tcBorders>
              <w:top w:val="nil"/>
              <w:left w:val="nil"/>
              <w:bottom w:val="single" w:sz="4" w:space="0" w:color="auto"/>
              <w:right w:val="single" w:sz="4" w:space="0" w:color="auto"/>
            </w:tcBorders>
            <w:shd w:val="clear" w:color="auto" w:fill="auto"/>
            <w:vAlign w:val="center"/>
            <w:hideMark/>
          </w:tcPr>
          <w:p w14:paraId="49297B82"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1,5</w:t>
            </w:r>
          </w:p>
        </w:tc>
        <w:tc>
          <w:tcPr>
            <w:tcW w:w="740" w:type="dxa"/>
            <w:tcBorders>
              <w:top w:val="nil"/>
              <w:left w:val="nil"/>
              <w:bottom w:val="single" w:sz="4" w:space="0" w:color="auto"/>
              <w:right w:val="single" w:sz="4" w:space="0" w:color="auto"/>
            </w:tcBorders>
            <w:shd w:val="clear" w:color="auto" w:fill="auto"/>
            <w:vAlign w:val="center"/>
            <w:hideMark/>
          </w:tcPr>
          <w:p w14:paraId="5773F72D"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0,6%</w:t>
            </w:r>
          </w:p>
        </w:tc>
        <w:tc>
          <w:tcPr>
            <w:tcW w:w="1440" w:type="dxa"/>
            <w:tcBorders>
              <w:top w:val="nil"/>
              <w:left w:val="nil"/>
              <w:bottom w:val="single" w:sz="4" w:space="0" w:color="auto"/>
              <w:right w:val="single" w:sz="4" w:space="0" w:color="auto"/>
            </w:tcBorders>
            <w:shd w:val="clear" w:color="auto" w:fill="auto"/>
            <w:vAlign w:val="center"/>
            <w:hideMark/>
          </w:tcPr>
          <w:p w14:paraId="16DE6818"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Thailand</w:t>
            </w:r>
          </w:p>
        </w:tc>
        <w:tc>
          <w:tcPr>
            <w:tcW w:w="740" w:type="dxa"/>
            <w:tcBorders>
              <w:top w:val="nil"/>
              <w:left w:val="nil"/>
              <w:bottom w:val="single" w:sz="4" w:space="0" w:color="auto"/>
              <w:right w:val="single" w:sz="4" w:space="0" w:color="auto"/>
            </w:tcBorders>
            <w:shd w:val="clear" w:color="auto" w:fill="auto"/>
            <w:vAlign w:val="center"/>
            <w:hideMark/>
          </w:tcPr>
          <w:p w14:paraId="6D4C2606"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7,1</w:t>
            </w:r>
          </w:p>
        </w:tc>
        <w:tc>
          <w:tcPr>
            <w:tcW w:w="740" w:type="dxa"/>
            <w:tcBorders>
              <w:top w:val="nil"/>
              <w:left w:val="nil"/>
              <w:bottom w:val="single" w:sz="4" w:space="0" w:color="auto"/>
              <w:right w:val="single" w:sz="4" w:space="0" w:color="auto"/>
            </w:tcBorders>
            <w:shd w:val="clear" w:color="auto" w:fill="auto"/>
            <w:vAlign w:val="center"/>
            <w:hideMark/>
          </w:tcPr>
          <w:p w14:paraId="1D5BB50F"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0,9%</w:t>
            </w:r>
          </w:p>
        </w:tc>
        <w:tc>
          <w:tcPr>
            <w:tcW w:w="1440" w:type="dxa"/>
            <w:tcBorders>
              <w:top w:val="nil"/>
              <w:left w:val="nil"/>
              <w:bottom w:val="single" w:sz="4" w:space="0" w:color="auto"/>
              <w:right w:val="single" w:sz="4" w:space="0" w:color="auto"/>
            </w:tcBorders>
            <w:shd w:val="clear" w:color="auto" w:fill="auto"/>
            <w:vAlign w:val="center"/>
            <w:hideMark/>
          </w:tcPr>
          <w:p w14:paraId="623DC41C"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United Kingdom</w:t>
            </w:r>
          </w:p>
        </w:tc>
        <w:tc>
          <w:tcPr>
            <w:tcW w:w="740" w:type="dxa"/>
            <w:tcBorders>
              <w:top w:val="nil"/>
              <w:left w:val="nil"/>
              <w:bottom w:val="single" w:sz="4" w:space="0" w:color="auto"/>
              <w:right w:val="single" w:sz="4" w:space="0" w:color="auto"/>
            </w:tcBorders>
            <w:shd w:val="clear" w:color="auto" w:fill="auto"/>
            <w:vAlign w:val="center"/>
            <w:hideMark/>
          </w:tcPr>
          <w:p w14:paraId="769940D5"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4,4</w:t>
            </w:r>
          </w:p>
        </w:tc>
        <w:tc>
          <w:tcPr>
            <w:tcW w:w="740" w:type="dxa"/>
            <w:tcBorders>
              <w:top w:val="nil"/>
              <w:left w:val="nil"/>
              <w:bottom w:val="single" w:sz="4" w:space="0" w:color="auto"/>
              <w:right w:val="single" w:sz="4" w:space="0" w:color="auto"/>
            </w:tcBorders>
            <w:shd w:val="clear" w:color="auto" w:fill="auto"/>
            <w:vAlign w:val="center"/>
            <w:hideMark/>
          </w:tcPr>
          <w:p w14:paraId="70592356"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1,2%</w:t>
            </w:r>
          </w:p>
        </w:tc>
      </w:tr>
      <w:tr w:rsidR="00C663D1" w:rsidRPr="00C663D1" w14:paraId="090733BF" w14:textId="77777777" w:rsidTr="00C663D1">
        <w:trPr>
          <w:trHeight w:val="28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BF125D5"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15</w:t>
            </w:r>
          </w:p>
        </w:tc>
        <w:tc>
          <w:tcPr>
            <w:tcW w:w="1440" w:type="dxa"/>
            <w:tcBorders>
              <w:top w:val="nil"/>
              <w:left w:val="nil"/>
              <w:bottom w:val="single" w:sz="4" w:space="0" w:color="auto"/>
              <w:right w:val="single" w:sz="4" w:space="0" w:color="auto"/>
            </w:tcBorders>
            <w:shd w:val="clear" w:color="auto" w:fill="auto"/>
            <w:vAlign w:val="center"/>
            <w:hideMark/>
          </w:tcPr>
          <w:p w14:paraId="1D4550F8"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United Kingdom</w:t>
            </w:r>
          </w:p>
        </w:tc>
        <w:tc>
          <w:tcPr>
            <w:tcW w:w="740" w:type="dxa"/>
            <w:tcBorders>
              <w:top w:val="nil"/>
              <w:left w:val="nil"/>
              <w:bottom w:val="single" w:sz="4" w:space="0" w:color="auto"/>
              <w:right w:val="single" w:sz="4" w:space="0" w:color="auto"/>
            </w:tcBorders>
            <w:shd w:val="clear" w:color="auto" w:fill="auto"/>
            <w:vAlign w:val="center"/>
            <w:hideMark/>
          </w:tcPr>
          <w:p w14:paraId="074005DA"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1,2</w:t>
            </w:r>
          </w:p>
        </w:tc>
        <w:tc>
          <w:tcPr>
            <w:tcW w:w="740" w:type="dxa"/>
            <w:tcBorders>
              <w:top w:val="nil"/>
              <w:left w:val="nil"/>
              <w:bottom w:val="single" w:sz="4" w:space="0" w:color="auto"/>
              <w:right w:val="single" w:sz="4" w:space="0" w:color="auto"/>
            </w:tcBorders>
            <w:shd w:val="clear" w:color="auto" w:fill="auto"/>
            <w:vAlign w:val="center"/>
            <w:hideMark/>
          </w:tcPr>
          <w:p w14:paraId="3E2D21CF"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0,5%</w:t>
            </w:r>
          </w:p>
        </w:tc>
        <w:tc>
          <w:tcPr>
            <w:tcW w:w="1440" w:type="dxa"/>
            <w:tcBorders>
              <w:top w:val="nil"/>
              <w:left w:val="nil"/>
              <w:bottom w:val="single" w:sz="4" w:space="0" w:color="auto"/>
              <w:right w:val="single" w:sz="4" w:space="0" w:color="auto"/>
            </w:tcBorders>
            <w:shd w:val="clear" w:color="auto" w:fill="auto"/>
            <w:vAlign w:val="center"/>
            <w:hideMark/>
          </w:tcPr>
          <w:p w14:paraId="6476E314"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France</w:t>
            </w:r>
          </w:p>
        </w:tc>
        <w:tc>
          <w:tcPr>
            <w:tcW w:w="740" w:type="dxa"/>
            <w:tcBorders>
              <w:top w:val="nil"/>
              <w:left w:val="nil"/>
              <w:bottom w:val="single" w:sz="4" w:space="0" w:color="auto"/>
              <w:right w:val="single" w:sz="4" w:space="0" w:color="auto"/>
            </w:tcBorders>
            <w:shd w:val="clear" w:color="auto" w:fill="auto"/>
            <w:vAlign w:val="center"/>
            <w:hideMark/>
          </w:tcPr>
          <w:p w14:paraId="3FF27126"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6,5</w:t>
            </w:r>
          </w:p>
        </w:tc>
        <w:tc>
          <w:tcPr>
            <w:tcW w:w="740" w:type="dxa"/>
            <w:tcBorders>
              <w:top w:val="nil"/>
              <w:left w:val="nil"/>
              <w:bottom w:val="single" w:sz="4" w:space="0" w:color="auto"/>
              <w:right w:val="single" w:sz="4" w:space="0" w:color="auto"/>
            </w:tcBorders>
            <w:shd w:val="clear" w:color="auto" w:fill="auto"/>
            <w:vAlign w:val="center"/>
            <w:hideMark/>
          </w:tcPr>
          <w:p w14:paraId="52EB9472"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0,8%</w:t>
            </w:r>
          </w:p>
        </w:tc>
        <w:tc>
          <w:tcPr>
            <w:tcW w:w="1440" w:type="dxa"/>
            <w:tcBorders>
              <w:top w:val="nil"/>
              <w:left w:val="nil"/>
              <w:bottom w:val="single" w:sz="4" w:space="0" w:color="auto"/>
              <w:right w:val="single" w:sz="4" w:space="0" w:color="auto"/>
            </w:tcBorders>
            <w:shd w:val="clear" w:color="auto" w:fill="auto"/>
            <w:vAlign w:val="center"/>
            <w:hideMark/>
          </w:tcPr>
          <w:p w14:paraId="32AACADB" w14:textId="77777777" w:rsidR="00C663D1" w:rsidRPr="00C663D1" w:rsidRDefault="00C663D1" w:rsidP="00750E11">
            <w:pPr>
              <w:spacing w:after="0" w:line="240" w:lineRule="auto"/>
              <w:ind w:left="-113" w:firstLine="0"/>
              <w:rPr>
                <w:rFonts w:eastAsia="Times New Roman"/>
                <w:color w:val="000000"/>
                <w:sz w:val="20"/>
                <w:szCs w:val="20"/>
                <w:lang w:val="vi-VN" w:eastAsia="vi-VN"/>
              </w:rPr>
            </w:pPr>
            <w:r w:rsidRPr="00C663D1">
              <w:rPr>
                <w:rFonts w:eastAsia="Times New Roman"/>
                <w:color w:val="000000"/>
                <w:sz w:val="20"/>
                <w:szCs w:val="20"/>
                <w:lang w:val="vi-VN" w:eastAsia="vi-VN"/>
              </w:rPr>
              <w:t xml:space="preserve"> Ireland</w:t>
            </w:r>
          </w:p>
        </w:tc>
        <w:tc>
          <w:tcPr>
            <w:tcW w:w="740" w:type="dxa"/>
            <w:tcBorders>
              <w:top w:val="nil"/>
              <w:left w:val="nil"/>
              <w:bottom w:val="single" w:sz="4" w:space="0" w:color="auto"/>
              <w:right w:val="single" w:sz="4" w:space="0" w:color="auto"/>
            </w:tcBorders>
            <w:shd w:val="clear" w:color="auto" w:fill="auto"/>
            <w:vAlign w:val="center"/>
            <w:hideMark/>
          </w:tcPr>
          <w:p w14:paraId="5D350D8C"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4,2</w:t>
            </w:r>
          </w:p>
        </w:tc>
        <w:tc>
          <w:tcPr>
            <w:tcW w:w="740" w:type="dxa"/>
            <w:tcBorders>
              <w:top w:val="nil"/>
              <w:left w:val="nil"/>
              <w:bottom w:val="single" w:sz="4" w:space="0" w:color="auto"/>
              <w:right w:val="single" w:sz="4" w:space="0" w:color="auto"/>
            </w:tcBorders>
            <w:shd w:val="clear" w:color="auto" w:fill="auto"/>
            <w:vAlign w:val="center"/>
            <w:hideMark/>
          </w:tcPr>
          <w:p w14:paraId="57559377" w14:textId="77777777" w:rsidR="00C663D1" w:rsidRPr="00C663D1" w:rsidRDefault="00C663D1" w:rsidP="00750E11">
            <w:pPr>
              <w:spacing w:after="0" w:line="240" w:lineRule="auto"/>
              <w:ind w:left="-113" w:firstLine="0"/>
              <w:jc w:val="right"/>
              <w:rPr>
                <w:rFonts w:eastAsia="Times New Roman"/>
                <w:color w:val="000000"/>
                <w:sz w:val="20"/>
                <w:szCs w:val="20"/>
                <w:lang w:val="vi-VN" w:eastAsia="vi-VN"/>
              </w:rPr>
            </w:pPr>
            <w:r w:rsidRPr="00C663D1">
              <w:rPr>
                <w:rFonts w:eastAsia="Times New Roman"/>
                <w:color w:val="000000"/>
                <w:sz w:val="20"/>
                <w:szCs w:val="20"/>
                <w:lang w:val="vi-VN" w:eastAsia="vi-VN"/>
              </w:rPr>
              <w:t>1,1%</w:t>
            </w:r>
          </w:p>
        </w:tc>
      </w:tr>
    </w:tbl>
    <w:p w14:paraId="57D576DD" w14:textId="77777777" w:rsidR="00050BE6" w:rsidRPr="00050BE6" w:rsidRDefault="00050BE6" w:rsidP="00750E11">
      <w:pPr>
        <w:tabs>
          <w:tab w:val="left" w:pos="993"/>
        </w:tabs>
        <w:spacing w:after="240"/>
        <w:jc w:val="center"/>
        <w:rPr>
          <w:rFonts w:eastAsiaTheme="majorEastAsia"/>
          <w:i/>
          <w:lang w:val="de-DE" w:eastAsia="ja-JP"/>
        </w:rPr>
      </w:pPr>
      <w:r w:rsidRPr="00050BE6">
        <w:rPr>
          <w:rFonts w:eastAsiaTheme="majorEastAsia"/>
          <w:i/>
          <w:lang w:val="de-DE" w:eastAsia="ja-JP"/>
        </w:rPr>
        <w:t>Nguồn: World's Top Exports</w:t>
      </w:r>
      <w:r w:rsidRPr="00843A61">
        <w:rPr>
          <w:rFonts w:eastAsiaTheme="majorEastAsia"/>
          <w:i/>
          <w:vertAlign w:val="superscript"/>
          <w:lang w:val="de-DE" w:eastAsia="ja-JP"/>
        </w:rPr>
        <w:footnoteReference w:id="1"/>
      </w:r>
    </w:p>
    <w:p w14:paraId="333DEACE" w14:textId="77777777" w:rsidR="00050BE6" w:rsidRPr="00750E11" w:rsidRDefault="00050BE6" w:rsidP="00050BE6">
      <w:pPr>
        <w:rPr>
          <w:b/>
          <w:lang w:val="de-DE"/>
        </w:rPr>
      </w:pPr>
      <w:r w:rsidRPr="00750E11">
        <w:rPr>
          <w:b/>
          <w:lang w:val="de-DE"/>
        </w:rPr>
        <w:t xml:space="preserve">Công nghiệp phần mềm và dịch vụ CNTT </w:t>
      </w:r>
    </w:p>
    <w:p w14:paraId="7E4175D2" w14:textId="043BA0C1" w:rsidR="00774E79" w:rsidRPr="00750E11" w:rsidRDefault="00050BE6" w:rsidP="006915B1">
      <w:pPr>
        <w:rPr>
          <w:lang w:val="de-DE"/>
        </w:rPr>
      </w:pPr>
      <w:r w:rsidRPr="00750E11">
        <w:rPr>
          <w:lang w:val="de-DE"/>
        </w:rPr>
        <w:t>Ngành công nghiệp phần mềm, dịch vụ CNTT có tốc độ phát triển cao, được ghi nhận trên bản đồ CNTT thế giới. Nhiều doanh nghiệp phần mềm có chứng chỉ quản lý chất lượng sản xuất phần mềm CMMi, trong đó có những doanh nghiệp đã đạt CMMi mức cao nhất (mức 5) như: Fsoft, Luxoft, Global Cybersoft, CSC và TMA. Tốc độ tăng trưởng bình quân giai đoạn 2015-20</w:t>
      </w:r>
      <w:r w:rsidR="002B141B">
        <w:rPr>
          <w:lang w:val="de-DE"/>
        </w:rPr>
        <w:t>20</w:t>
      </w:r>
      <w:r w:rsidR="002B141B">
        <w:rPr>
          <w:lang w:val="vi-VN"/>
        </w:rPr>
        <w:t xml:space="preserve"> </w:t>
      </w:r>
      <w:r w:rsidRPr="00750E11">
        <w:rPr>
          <w:lang w:val="de-DE"/>
        </w:rPr>
        <w:t xml:space="preserve">đạt khoảng hơn 12,1%/năm. Doanh thu năm 2020 ước đạt 12,4 tỷ USD. Nhiều doanh nghiệp phần mềm Việt Nam đã có khả năng cạnh tranh được với các doanh nghiệp Ấn Độ, Trung Quốc trên thị trường dịch vụ phần mềm thế giới. </w:t>
      </w:r>
      <w:r w:rsidRPr="00750E11">
        <w:rPr>
          <w:lang w:val="de-DE"/>
        </w:rPr>
        <w:lastRenderedPageBreak/>
        <w:t>Việt Nam thường xuyên được các tổ chức có uy tín đánh giá và xếp hạng cao trong danh sách các điểm đến hấp dẫn nhất thế giới về dịch vụ ủ</w:t>
      </w:r>
      <w:r w:rsidR="004A7791">
        <w:rPr>
          <w:lang w:val="de-DE"/>
        </w:rPr>
        <w:t xml:space="preserve">y thác </w:t>
      </w:r>
      <w:r w:rsidRPr="00750E11">
        <w:rPr>
          <w:lang w:val="de-DE"/>
        </w:rPr>
        <w:t>phần mềm xuất khẩu</w:t>
      </w:r>
      <w:r w:rsidR="00EF269D">
        <w:rPr>
          <w:rStyle w:val="FootnoteReference"/>
        </w:rPr>
        <w:footnoteReference w:id="2"/>
      </w:r>
      <w:r w:rsidRPr="00750E11">
        <w:rPr>
          <w:lang w:val="de-DE"/>
        </w:rPr>
        <w:t>.</w:t>
      </w:r>
      <w:r w:rsidR="007A6C10">
        <w:rPr>
          <w:lang w:val="vi-VN"/>
        </w:rPr>
        <w:t xml:space="preserve"> Năm </w:t>
      </w:r>
      <w:r w:rsidR="002B141B">
        <w:rPr>
          <w:lang w:val="vi-VN"/>
        </w:rPr>
        <w:t>2021, Việt Nam được xếp thứ 6/60 về gia công dịch vụ phần mềm theo đánh giá của AT. Kearney.</w:t>
      </w:r>
      <w:r w:rsidRPr="00750E11">
        <w:rPr>
          <w:lang w:val="de-DE"/>
        </w:rPr>
        <w:t xml:space="preserve"> Theo khảo sát của Tập đoàn tư vấn NeoIT có trụ sở tại Hoa Kỳ</w:t>
      </w:r>
      <w:r w:rsidR="004A7791">
        <w:rPr>
          <w:lang w:val="de-DE"/>
        </w:rPr>
        <w:t>, Tp.</w:t>
      </w:r>
      <w:r w:rsidRPr="00750E11">
        <w:rPr>
          <w:lang w:val="de-DE"/>
        </w:rPr>
        <w:t xml:space="preserve"> Hồ Chí Minh và Hà Nội được xếp vào nhóm các thành phố dịch vụ ủ</w:t>
      </w:r>
      <w:r w:rsidR="004A7791">
        <w:rPr>
          <w:lang w:val="de-DE"/>
        </w:rPr>
        <w:t>y thác</w:t>
      </w:r>
      <w:r w:rsidRPr="00750E11">
        <w:rPr>
          <w:lang w:val="de-DE"/>
        </w:rPr>
        <w:t xml:space="preserve"> hấp dẫn nhất thế giới. Một số các sản phẩm phần mềm đóng gói thương hiệu Việt bắt đầu chiếm lĩnh thị phần trong nước.</w:t>
      </w:r>
    </w:p>
    <w:p w14:paraId="457413BD" w14:textId="10DFD121" w:rsidR="003F767D" w:rsidRDefault="00050BE6" w:rsidP="00750E11">
      <w:pPr>
        <w:rPr>
          <w:lang w:val="de-DE"/>
        </w:rPr>
      </w:pPr>
      <w:r w:rsidRPr="00750E11">
        <w:rPr>
          <w:b/>
          <w:lang w:val="de-DE"/>
        </w:rPr>
        <w:t xml:space="preserve">Công nghiệp nội dung </w:t>
      </w:r>
    </w:p>
    <w:p w14:paraId="505F30AA" w14:textId="7CD3DC77" w:rsidR="00050BE6" w:rsidRPr="00BE1F7B" w:rsidRDefault="00050BE6" w:rsidP="00750E11">
      <w:r w:rsidRPr="00750E11">
        <w:rPr>
          <w:lang w:val="de-DE"/>
        </w:rPr>
        <w:t xml:space="preserve">Trong các lĩnh vực thuộc ngành công nghiệp </w:t>
      </w:r>
      <w:r w:rsidR="00535487">
        <w:rPr>
          <w:lang w:val="de-DE"/>
        </w:rPr>
        <w:t>CNTT</w:t>
      </w:r>
      <w:r w:rsidRPr="00750E11">
        <w:rPr>
          <w:lang w:val="de-DE"/>
        </w:rPr>
        <w:t>, ngành công nghiệp nội dung số được kỳ vọng có nhiều tiềm năng về giá trị gia tăng và năng suất lao động cao. Tuy vậy, cho đến nay quy mô của ngành này còn khá khiêm tốn, chỉ chiếm 0,8% tổng doanh thu ngành. Tốc độ tăng trưởng bình quân của ngành công nghiệp nội dung số giai đoạn 2015 – 2020 chỉ đạt 7,9%</w:t>
      </w:r>
      <w:r w:rsidR="002B141B">
        <w:rPr>
          <w:lang w:val="vi-VN"/>
        </w:rPr>
        <w:t xml:space="preserve"> khá khiêm tốn so với tốc độ phát triển chung của ngành</w:t>
      </w:r>
      <w:r w:rsidRPr="00750E11">
        <w:rPr>
          <w:lang w:val="de-DE"/>
        </w:rPr>
        <w:t>. Về số lượng doanh nghiệp, đến năm 2020 có gần 4.600 doanh nghiệp tham gia kinh doanh trong lĩnh vực này so với số lượng doanh nghiệp 2.339 năm 2015. Doanh thu của lĩnh vực ước đạt 934 triệu USD. Một số doanh nghiệp chiếm lĩnh được thị trường nội địa và bước đầu đầu tư, cung cấp dịch vụ ra thị trường nước ngoài.</w:t>
      </w:r>
      <w:r w:rsidR="002B141B">
        <w:rPr>
          <w:lang w:val="vi-VN"/>
        </w:rPr>
        <w:t xml:space="preserve"> Năm 2020, Việt Nam được xếp top 7 trong các nước xuất khẩu trò chơi điện tử (video games) lớn nhất thế giới chiếm 4,4% thị phần với 954,7 triệu USD – theo Worltopexports </w:t>
      </w:r>
      <w:r w:rsidR="002B141B" w:rsidRPr="00750E11">
        <w:rPr>
          <w:color w:val="000000" w:themeColor="text1"/>
          <w:lang w:val="vi-VN"/>
        </w:rPr>
        <w:t>(</w:t>
      </w:r>
      <w:r w:rsidR="002B141B" w:rsidRPr="00750E11">
        <w:rPr>
          <w:i/>
          <w:color w:val="000000" w:themeColor="text1"/>
          <w:lang w:val="vi-VN"/>
        </w:rPr>
        <w:t>lớn hơn doanh thu của ngành nội dung số do một phần được tính vào phần mềm)</w:t>
      </w:r>
      <w:r w:rsidR="00BE1F7B" w:rsidRPr="00750E11">
        <w:rPr>
          <w:i/>
          <w:color w:val="000000" w:themeColor="text1"/>
        </w:rPr>
        <w:t>.</w:t>
      </w:r>
    </w:p>
    <w:p w14:paraId="6EDAD2CE" w14:textId="66BDC208" w:rsidR="00050BE6" w:rsidRPr="00750E11" w:rsidRDefault="00677953" w:rsidP="00750E11">
      <w:pPr>
        <w:pStyle w:val="Heading2"/>
        <w:rPr>
          <w:lang w:val="de-DE"/>
        </w:rPr>
      </w:pPr>
      <w:bookmarkStart w:id="8" w:name="_Toc74064558"/>
      <w:bookmarkStart w:id="9" w:name="_Toc75262593"/>
      <w:r w:rsidRPr="00750E11">
        <w:rPr>
          <w:lang w:val="de-DE"/>
        </w:rPr>
        <w:t>II</w:t>
      </w:r>
      <w:r w:rsidR="00050BE6" w:rsidRPr="00750E11">
        <w:rPr>
          <w:lang w:val="de-DE"/>
        </w:rPr>
        <w:t xml:space="preserve">.2. Về phát triển nguồn nhân lực </w:t>
      </w:r>
      <w:bookmarkEnd w:id="8"/>
      <w:bookmarkEnd w:id="9"/>
      <w:r w:rsidR="00535487">
        <w:rPr>
          <w:lang w:val="de-DE"/>
        </w:rPr>
        <w:t>CNTT</w:t>
      </w:r>
      <w:r w:rsidR="00050BE6" w:rsidRPr="00750E11">
        <w:rPr>
          <w:lang w:val="de-DE"/>
        </w:rPr>
        <w:t xml:space="preserve"> </w:t>
      </w:r>
    </w:p>
    <w:p w14:paraId="5BD61C00" w14:textId="07A78F07" w:rsidR="00050BE6" w:rsidRPr="00750E11" w:rsidRDefault="00050BE6" w:rsidP="00050BE6">
      <w:pPr>
        <w:rPr>
          <w:lang w:val="de-DE"/>
        </w:rPr>
      </w:pPr>
      <w:r w:rsidRPr="00750E11">
        <w:rPr>
          <w:lang w:val="de-DE"/>
        </w:rPr>
        <w:t xml:space="preserve">Nguồn nhân lực </w:t>
      </w:r>
      <w:r w:rsidR="00535487">
        <w:rPr>
          <w:lang w:val="de-DE"/>
        </w:rPr>
        <w:t>CNTT</w:t>
      </w:r>
      <w:r w:rsidRPr="00750E11">
        <w:rPr>
          <w:lang w:val="de-DE"/>
        </w:rPr>
        <w:t xml:space="preserve"> nước ta luôn đạt tốc độ tăng trưởng cao, đến năm 2020, tổng số lao động làm việc trong ngành công nghiệp </w:t>
      </w:r>
      <w:r w:rsidR="00535487">
        <w:rPr>
          <w:lang w:val="de-DE"/>
        </w:rPr>
        <w:t>CNTT</w:t>
      </w:r>
      <w:r w:rsidRPr="00750E11">
        <w:rPr>
          <w:lang w:val="de-DE"/>
        </w:rPr>
        <w:t xml:space="preserve"> ước tính là 1.030.000 người, tăng bình quân 7,38%/năm trong giai đoạn 2015-2020.</w:t>
      </w:r>
    </w:p>
    <w:p w14:paraId="3FFD0CE2" w14:textId="5FC5EE79" w:rsidR="00050BE6" w:rsidRPr="00050BE6" w:rsidRDefault="00050BE6" w:rsidP="00050BE6">
      <w:r w:rsidRPr="00050BE6">
        <w:t xml:space="preserve">Thực thi pháp luật về phát triển nguồn nhân lực </w:t>
      </w:r>
      <w:r w:rsidR="00535487">
        <w:t>CNTT</w:t>
      </w:r>
      <w:r w:rsidRPr="00050BE6">
        <w:t xml:space="preserve">, cơ cấu nguồn nhân lực CNTT Việt Nam cũng được hình thành theo các lĩnh vực phát triển công nghiệp </w:t>
      </w:r>
      <w:r w:rsidR="00535487">
        <w:t>CNTT</w:t>
      </w:r>
      <w:r w:rsidRPr="00050BE6">
        <w:t>, bao gồm các nhóm chính như: nhân lực công nghiệp phần cứng và điện tử; nhân lực công nghiệp phần mềm; nhân lực công nghiệp nội dung số và nhân lực dịch vụ CNTT. Về cơ cấu cụ thể như sau:</w:t>
      </w:r>
    </w:p>
    <w:p w14:paraId="69E40E9E" w14:textId="753C6039" w:rsidR="00050BE6" w:rsidRPr="00050BE6" w:rsidRDefault="00050BE6" w:rsidP="00050BE6">
      <w:r w:rsidRPr="00050BE6">
        <w:t xml:space="preserve">- Lao động ngành công nghiệp phần cứng, điện tử ước tính khoảng 760.000 người, chiếm 73,9% tổng số lao động toàn ngành công nghiệp </w:t>
      </w:r>
      <w:r w:rsidR="00535487">
        <w:t>CNTT</w:t>
      </w:r>
      <w:r w:rsidRPr="00050BE6">
        <w:t xml:space="preserve"> năm 2020. Tốc độ tăng trưởng bình quân/năm giai đoạn 2015-2020 đạt 7</w:t>
      </w:r>
      <w:r w:rsidR="004D700E">
        <w:rPr>
          <w:lang w:val="vi-VN"/>
        </w:rPr>
        <w:t>,</w:t>
      </w:r>
      <w:r w:rsidR="004D700E">
        <w:t>39</w:t>
      </w:r>
      <w:r w:rsidRPr="00050BE6">
        <w:t>%, chủ yếu trình độ trung cấp hoặc phổ thông trung học.</w:t>
      </w:r>
    </w:p>
    <w:p w14:paraId="6D11BF67" w14:textId="1DB8FCC8" w:rsidR="00050BE6" w:rsidRPr="00050BE6" w:rsidRDefault="00050BE6" w:rsidP="00050BE6">
      <w:r w:rsidRPr="00050BE6">
        <w:t>- Lao động ngành công nghiệp phần mềm</w:t>
      </w:r>
      <w:r w:rsidR="004D700E">
        <w:rPr>
          <w:lang w:val="vi-VN"/>
        </w:rPr>
        <w:t xml:space="preserve"> và </w:t>
      </w:r>
      <w:r w:rsidR="004D700E" w:rsidRPr="00050BE6">
        <w:t>và dịch vụ CNTT</w:t>
      </w:r>
      <w:r w:rsidRPr="00050BE6">
        <w:t xml:space="preserve"> ước tính khoả</w:t>
      </w:r>
      <w:r w:rsidR="004D700E">
        <w:t>ng</w:t>
      </w:r>
      <w:r w:rsidR="004D700E">
        <w:rPr>
          <w:lang w:val="vi-VN"/>
        </w:rPr>
        <w:t xml:space="preserve"> </w:t>
      </w:r>
      <w:r w:rsidR="004D700E">
        <w:t>211</w:t>
      </w:r>
      <w:r w:rsidRPr="00050BE6">
        <w:t xml:space="preserve">.000 người, chiếm </w:t>
      </w:r>
      <w:r w:rsidR="004D700E">
        <w:t>20</w:t>
      </w:r>
      <w:r w:rsidR="004D700E">
        <w:rPr>
          <w:lang w:val="vi-VN"/>
        </w:rPr>
        <w:t>,54</w:t>
      </w:r>
      <w:r w:rsidRPr="00050BE6">
        <w:t xml:space="preserve">% tổng số lao động toàn ngành công nghiệp </w:t>
      </w:r>
      <w:r w:rsidR="00535487">
        <w:lastRenderedPageBreak/>
        <w:t>CNTT</w:t>
      </w:r>
      <w:r w:rsidRPr="00050BE6">
        <w:t xml:space="preserve">, tốc độ tăng trưởng bình quân/năm </w:t>
      </w:r>
      <w:r w:rsidR="004D700E">
        <w:t>7</w:t>
      </w:r>
      <w:r w:rsidR="004D700E">
        <w:rPr>
          <w:lang w:val="vi-VN"/>
        </w:rPr>
        <w:t>,95</w:t>
      </w:r>
      <w:r w:rsidRPr="00050BE6">
        <w:t xml:space="preserve">%. Nhân lực làm phần mềm </w:t>
      </w:r>
      <w:r w:rsidR="004D700E">
        <w:t>và</w:t>
      </w:r>
      <w:r w:rsidR="004D700E">
        <w:rPr>
          <w:lang w:val="vi-VN"/>
        </w:rPr>
        <w:t xml:space="preserve"> dịch vụ CNTT </w:t>
      </w:r>
      <w:r w:rsidRPr="00050BE6">
        <w:t>chủ yếu có trình độ cao đẳng và đại học.</w:t>
      </w:r>
    </w:p>
    <w:p w14:paraId="5CE8C3DC" w14:textId="48237E5F" w:rsidR="00050BE6" w:rsidRPr="00050BE6" w:rsidRDefault="00050BE6" w:rsidP="00050BE6">
      <w:r w:rsidRPr="00050BE6">
        <w:t xml:space="preserve">- Lao động ngành công nghiệp nội dung số ước tỉnh khoảng </w:t>
      </w:r>
      <w:r w:rsidR="004D700E">
        <w:t>57</w:t>
      </w:r>
      <w:r w:rsidRPr="00050BE6">
        <w:t>.000, chiếm</w:t>
      </w:r>
      <w:r w:rsidR="004D700E">
        <w:rPr>
          <w:lang w:val="vi-VN"/>
        </w:rPr>
        <w:t xml:space="preserve"> </w:t>
      </w:r>
      <w:r w:rsidR="004D700E">
        <w:t>5</w:t>
      </w:r>
      <w:r w:rsidR="004D700E">
        <w:rPr>
          <w:lang w:val="vi-VN"/>
        </w:rPr>
        <w:t>,5</w:t>
      </w:r>
      <w:r w:rsidRPr="00050BE6">
        <w:t xml:space="preserve">% tổng số lao động toàn ngành công nghiệp </w:t>
      </w:r>
      <w:r w:rsidR="00535487">
        <w:t>CNTT</w:t>
      </w:r>
      <w:r w:rsidRPr="00050BE6">
        <w:t>; Tốc độ tăng trưởng bình quân/năm giai đoạn 2015-2020 đạt khoảng 5,</w:t>
      </w:r>
      <w:r w:rsidR="004D700E">
        <w:t>7</w:t>
      </w:r>
      <w:r w:rsidRPr="00050BE6">
        <w:t xml:space="preserve">%. Nhân lực làm </w:t>
      </w:r>
      <w:r w:rsidR="004D700E">
        <w:t>nội</w:t>
      </w:r>
      <w:r w:rsidR="004D700E">
        <w:rPr>
          <w:lang w:val="vi-VN"/>
        </w:rPr>
        <w:t xml:space="preserve"> dung số</w:t>
      </w:r>
      <w:r w:rsidRPr="00050BE6">
        <w:t xml:space="preserve"> chủ yếu có trình độ cao đẳng và đại học.</w:t>
      </w:r>
    </w:p>
    <w:p w14:paraId="68AEA90F" w14:textId="14B3D71C" w:rsidR="00050BE6" w:rsidRPr="00050BE6" w:rsidRDefault="00050BE6" w:rsidP="00050BE6">
      <w:r w:rsidRPr="00050BE6">
        <w:t xml:space="preserve">Về năng lực và kỹ năng, nguồn nhân lực </w:t>
      </w:r>
      <w:r w:rsidR="00535487">
        <w:t>CNTT</w:t>
      </w:r>
      <w:r w:rsidRPr="00050BE6">
        <w:t xml:space="preserve"> Việt Nam được đánh giá khá cao trên bình diện quốc tế. Việt Nam xếp hạng 29 trên toàn thế giới trong bảng xếp hạng kỹ năng lập trình viên của Skillvalue report năm 2018. Năm 2017, sinh viên Việt Nam xếp thứ 34/128 tại kỳ thi lập trình quốc tế ACM/ICPC). Việt Nam liên tục lọt vào top 10 nước gia công phần mềm hấp dẫn Châu Á - Thái Bình Dương. Đến năm 2019, Việt Nam xếp thứ 5/55 nước dẫn đầu về dịch vụ gia công quy trình (BPO), và xếp thứ 28/100 nước về trò chơi trực tuyến, xếp thứ 2 thế giới về xuất khẩu smartphone và thiết bị văn phòng theo thống kê của Tổ chức thương mại thế giới (WTO).</w:t>
      </w:r>
    </w:p>
    <w:p w14:paraId="0F9891FF" w14:textId="62A00D31" w:rsidR="00050BE6" w:rsidRPr="00050BE6" w:rsidRDefault="00050BE6" w:rsidP="00050BE6">
      <w:r w:rsidRPr="00050BE6">
        <w:t xml:space="preserve">Về hướng phát triển, nguồn nhân lực </w:t>
      </w:r>
      <w:r w:rsidR="00535487">
        <w:t>CNTT</w:t>
      </w:r>
      <w:r w:rsidRPr="00050BE6">
        <w:t xml:space="preserve"> Việt Nam đang phát triển theo xu thế đào tạo kỹ năng, công nghệ mới theo nhu cầu doanh nghiệp, thị trường, kết hợp chặt chẽ doanh nghiệp - trường - viện trong đào tạo nhân lực </w:t>
      </w:r>
      <w:r w:rsidR="00535487">
        <w:t>CNTT</w:t>
      </w:r>
      <w:r w:rsidRPr="00050BE6">
        <w:t>. Cụ thể:</w:t>
      </w:r>
    </w:p>
    <w:p w14:paraId="6B25AC8A" w14:textId="3126EB2A" w:rsidR="00050BE6" w:rsidRPr="00050BE6" w:rsidRDefault="00050BE6" w:rsidP="00050BE6">
      <w:r w:rsidRPr="00050BE6">
        <w:t xml:space="preserve">- Ngoài đào tạo chính quy bậc đại học, cao đẳng, trung cấp ngành </w:t>
      </w:r>
      <w:r w:rsidR="00535487">
        <w:t>CNTT</w:t>
      </w:r>
      <w:r w:rsidRPr="00050BE6">
        <w:t xml:space="preserve">, hiện nay còn hình thức đào tạo theo nhu cầu để cập nhật các công nghệ mới cho doanh nghiệp và người lao động. Nhiều cơ sở đào tạo đã tổ chức các khóa đào tạo ngắn hạn với các nội dung theo đặt hàng của doanh nghiệp hoặc nhu cầu lớn trong thị trường như đào tạo cập nhật các công nghệ của các hãng công nghệ lớn như Oracle, Microsoft, Cisco… </w:t>
      </w:r>
    </w:p>
    <w:p w14:paraId="1F592039" w14:textId="77777777" w:rsidR="00050BE6" w:rsidRPr="00050BE6" w:rsidRDefault="00050BE6" w:rsidP="00050BE6">
      <w:r w:rsidRPr="00050BE6">
        <w:t xml:space="preserve">- Các doanh nghiệp mở ra các viện, trường đào tạo riêng như FPT, TMA, VNG, các cơ sở đào tạo chuyên về công nghệ mới như AI, IoT (Học viện AI, Học viện Sofia...). </w:t>
      </w:r>
    </w:p>
    <w:p w14:paraId="3935E860" w14:textId="77777777" w:rsidR="00050BE6" w:rsidRPr="00050BE6" w:rsidRDefault="00050BE6" w:rsidP="00050BE6">
      <w:r w:rsidRPr="00050BE6">
        <w:t xml:space="preserve">- Một số viện đào tạo (như Viện CNTT - Đại học Quốc Gia Hà Nội, Viện CNTT Đại học Bách khoa Hà Nội…) đào tạo riêng một số khóa học chuyên sâu, các trường Đại học có đào tạo ngắn hạn theo đặt hàng doanh nghiệp. </w:t>
      </w:r>
    </w:p>
    <w:p w14:paraId="64207128" w14:textId="77777777" w:rsidR="00050BE6" w:rsidRPr="00050BE6" w:rsidRDefault="00050BE6" w:rsidP="00050BE6">
      <w:r w:rsidRPr="00050BE6">
        <w:t>- Nhiều trường đại học và doanh nghiệp đã bắt đầu hợp tác trong đào tạo và nghiên cứu, tập trung chính vào phối hợp xây dựng các phòng Lab, phòng thí nghiệm thực hành chung và phối hợp tìm kiếm đầu ra cho sinh viên.</w:t>
      </w:r>
    </w:p>
    <w:p w14:paraId="4BA1F3E8" w14:textId="112F634E" w:rsidR="00050BE6" w:rsidRPr="00843A61" w:rsidRDefault="00677953" w:rsidP="00750E11">
      <w:pPr>
        <w:pStyle w:val="Heading2"/>
      </w:pPr>
      <w:bookmarkStart w:id="10" w:name="_Toc74064557"/>
      <w:bookmarkStart w:id="11" w:name="_Toc75262594"/>
      <w:r w:rsidRPr="00843A61">
        <w:t>II</w:t>
      </w:r>
      <w:r w:rsidR="00050BE6" w:rsidRPr="00843A61">
        <w:t xml:space="preserve">.3. Về nghiên cứu - phát triển </w:t>
      </w:r>
      <w:bookmarkEnd w:id="10"/>
      <w:bookmarkEnd w:id="11"/>
      <w:r w:rsidR="00535487">
        <w:t>CNTT</w:t>
      </w:r>
    </w:p>
    <w:p w14:paraId="1F16E619" w14:textId="557E4D22" w:rsidR="00050BE6" w:rsidRPr="00050BE6" w:rsidRDefault="00050BE6" w:rsidP="00050BE6">
      <w:r w:rsidRPr="00050BE6">
        <w:t xml:space="preserve">Thực thi các quy định pháp luật về nghiên cứu phát triển sản phẩm, dịch vụ </w:t>
      </w:r>
      <w:r w:rsidR="00535487">
        <w:t>CNTT</w:t>
      </w:r>
      <w:r w:rsidRPr="00050BE6">
        <w:t xml:space="preserve">, các Bộ, ngành, địa phương đã lồng ghép nội dung nghiên cứu, phát triển sản phẩm </w:t>
      </w:r>
      <w:r w:rsidR="00535487">
        <w:t>CNTT</w:t>
      </w:r>
      <w:r w:rsidRPr="00050BE6">
        <w:t xml:space="preserve"> trong các chương trình phát triển </w:t>
      </w:r>
      <w:r w:rsidR="00535487">
        <w:t>CNTT</w:t>
      </w:r>
      <w:r w:rsidRPr="00050BE6">
        <w:t xml:space="preserve"> của mình.</w:t>
      </w:r>
    </w:p>
    <w:p w14:paraId="4C860640" w14:textId="77777777" w:rsidR="00050BE6" w:rsidRPr="00050BE6" w:rsidRDefault="00050BE6" w:rsidP="00050BE6">
      <w:r w:rsidRPr="00050BE6">
        <w:lastRenderedPageBreak/>
        <w:t xml:space="preserve">Với vai trò quản lý ngành, Bộ Thông tin và Truyền thông đã tích cực triển khai để hỗ trợ cho các doanh nghiệp theo các xu thế, tiêu chuẩn tiên tiến trên thế giới. Bên cạnh đó, Bộ Khoa học và Công nghệ đã phối hợp với Bộ Thông tin và Truyền thông xây dựng một số chương trình nhằm thúc đẩy nghiên cứu, phát triển sản phẩm, dịch vụ CNTT như: Chương trình nghiên cứu ứng dụng và phát triển CNTT&amp;TT (Chương trình KC.01); Chương trình phát triển sản phẩm quốc gia đến 2020 với một số sản phẩm đảm bảo an ninh, an toàn mạng thông tin, sản phẩm vi mạch điện tử… </w:t>
      </w:r>
    </w:p>
    <w:p w14:paraId="4CAAB5CB" w14:textId="6D96BC50" w:rsidR="00050BE6" w:rsidRPr="00050BE6" w:rsidRDefault="00050BE6" w:rsidP="00050BE6">
      <w:r w:rsidRPr="00050BE6">
        <w:t xml:space="preserve">Hoạt động nghiên cứu - phát triển sản phẩm </w:t>
      </w:r>
      <w:r w:rsidR="00535487">
        <w:t>CNTT</w:t>
      </w:r>
      <w:r w:rsidRPr="00050BE6">
        <w:t xml:space="preserve"> trong doanh nghiệp được triển khai khá tích cực. Các tập đoàn công nghệ hàng đầu của Việt Nam như VNPT, Viettel đã xây dựng các sản phẩm phần mềm, hệ thống thiết bị phần cứng triển khai trong các cơ quan nhà nước từ Trung ương tới địa phương, phục vụ tốt cho công tác ứng dụng CNTT trên phạm vi cả nước. Các sản phẩm </w:t>
      </w:r>
      <w:r w:rsidR="00535487">
        <w:t>CNTT</w:t>
      </w:r>
      <w:r w:rsidRPr="00050BE6">
        <w:t xml:space="preserve"> thương hiệu Việt đã được nghiên cứu, phát triển thành công và được sử dụng khá rộng rãi như: Điện thoại thông minh, đầu thu kỹ thuật số; thiết bị giám sát, điều khiển tự động; các phần mềm ứng dụng trong lĩnh vực y tế, giáo dục, bảo hiểm xã hội, văn phòng điện tử, cổng thông tin điện tử trong cơ quan nhà nước, các sản phẩm quản lý điều hành sản xuất, giám sát hành trình; nghiên cứu sản xuất các sản phẩm nội dung số trên môi trường mạng và kênh truyền thông…</w:t>
      </w:r>
    </w:p>
    <w:p w14:paraId="4C0CFFD7" w14:textId="403D8EB1" w:rsidR="00050BE6" w:rsidRPr="00050BE6" w:rsidRDefault="00050BE6" w:rsidP="00050BE6">
      <w:r w:rsidRPr="00050BE6">
        <w:t xml:space="preserve">Chủ động tham gia cuộc Cách mạng công nghiệp lần thứ 4 (CMCN 4.0), các doanh nghiệp </w:t>
      </w:r>
      <w:r w:rsidR="00535487">
        <w:t>CNTT</w:t>
      </w:r>
      <w:r w:rsidRPr="00050BE6">
        <w:t xml:space="preserve"> Việt Nam đã đẩy mạnh nghiên cứu - phát triển sản phẩm công nghệ 4.0, điển hình như: thiết bị mạng 5G, sản phẩm công nghệ AI, Rô bốt, thiết bị bay không người lái, xe tự hành, thiết bị IoT, các sản phẩm, thiết bị an toàn thông tin (phần mềm diệt virus, thiết bị tường lửa, thiết bị IPS/IDS và các dịch vụ kiểm tra đánh giá ATTT, khắc phục sự cố, phòng chống tấn công mạng…). Xuất hiện xu thế các doanh nghiệp, tập đoàn lớn chuyển dịch sang “công nghệ số”, </w:t>
      </w:r>
      <w:r w:rsidR="00535487">
        <w:t>CNTT</w:t>
      </w:r>
      <w:r w:rsidRPr="00050BE6">
        <w:t xml:space="preserve"> như Tập đoàn Vingroup với Viện Nghiên cứu Trí Tuệ VinAI…</w:t>
      </w:r>
    </w:p>
    <w:p w14:paraId="29BFC5CE" w14:textId="3E6EED91" w:rsidR="00050BE6" w:rsidRPr="00843A61" w:rsidRDefault="00677953" w:rsidP="00750E11">
      <w:pPr>
        <w:pStyle w:val="Heading2"/>
      </w:pPr>
      <w:bookmarkStart w:id="12" w:name="_Toc74064559"/>
      <w:bookmarkStart w:id="13" w:name="_Toc75262595"/>
      <w:r w:rsidRPr="00843A61">
        <w:t>II</w:t>
      </w:r>
      <w:r w:rsidR="00050BE6" w:rsidRPr="00843A61">
        <w:t xml:space="preserve">.4. Về </w:t>
      </w:r>
      <w:bookmarkEnd w:id="12"/>
      <w:r w:rsidR="00BE1F7B">
        <w:t xml:space="preserve">kết cấu </w:t>
      </w:r>
      <w:r w:rsidR="00050BE6" w:rsidRPr="00843A61">
        <w:t xml:space="preserve">hạ tầng cho </w:t>
      </w:r>
      <w:r w:rsidR="00BE1F7B">
        <w:t>phát triển</w:t>
      </w:r>
      <w:r w:rsidR="00050BE6" w:rsidRPr="00843A61">
        <w:t xml:space="preserve"> </w:t>
      </w:r>
      <w:bookmarkEnd w:id="13"/>
      <w:r w:rsidR="00535487">
        <w:t>CNTT</w:t>
      </w:r>
      <w:r w:rsidR="00050BE6" w:rsidRPr="00843A61">
        <w:t xml:space="preserve"> </w:t>
      </w:r>
    </w:p>
    <w:p w14:paraId="3D143C7D" w14:textId="771F0C49" w:rsidR="00050BE6" w:rsidRDefault="00050BE6" w:rsidP="00050BE6">
      <w:r w:rsidRPr="00050BE6">
        <w:t xml:space="preserve">Khu CNTT tập trung là hạ tầng quan trọng để phát triển ngành công nghiệp </w:t>
      </w:r>
      <w:r w:rsidR="00535487">
        <w:t>CNTT</w:t>
      </w:r>
      <w:r w:rsidRPr="00050BE6">
        <w:t>.</w:t>
      </w:r>
      <w:bookmarkStart w:id="14" w:name="_Toc38632014"/>
      <w:r w:rsidRPr="00050BE6">
        <w:t xml:space="preserve"> Đến năm 2020, số lượng Khu CNTT tậ</w:t>
      </w:r>
      <w:r w:rsidR="004A7791">
        <w:t>p trung là 06</w:t>
      </w:r>
      <w:r w:rsidRPr="00050BE6">
        <w:t xml:space="preserve"> (Công viên phần mềm Quang Trung, Công viên phần mềm Đà Nẵng, Khu CNTT tập trung Cầu Giấ</w:t>
      </w:r>
      <w:r w:rsidR="004A7791">
        <w:t>y,</w:t>
      </w:r>
      <w:r w:rsidRPr="00050BE6">
        <w:t xml:space="preserve"> Khu CNTT tập trung Đà Nẵng</w:t>
      </w:r>
      <w:r w:rsidR="004A7791">
        <w:t>,</w:t>
      </w:r>
      <w:r w:rsidRPr="00050BE6">
        <w:t xml:space="preserve"> Khu Công viên công nghệ phần mềm Hà Nộ</w:t>
      </w:r>
      <w:r w:rsidR="004A7791">
        <w:t>i, Khu CNTT tập trung TP. Cần Thơ)</w:t>
      </w:r>
      <w:r w:rsidRPr="00050BE6">
        <w:t xml:space="preserve"> Bên cạnh đó, có mô hình thí điểm Chuỗi công viên phần mềm Quang Trung được Thủ tướng Chính phủ thí điểm thành lập, hoạt động theo chức năng của khu CNTT tập trung).</w:t>
      </w:r>
    </w:p>
    <w:p w14:paraId="7D274CA5" w14:textId="77777777" w:rsidR="004A7791" w:rsidRPr="00050BE6" w:rsidRDefault="004A7791" w:rsidP="00050BE6"/>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559"/>
        <w:gridCol w:w="1636"/>
        <w:gridCol w:w="1645"/>
      </w:tblGrid>
      <w:tr w:rsidR="000D2061" w:rsidRPr="00050BE6" w14:paraId="098736B6" w14:textId="77777777" w:rsidTr="009957D2">
        <w:trPr>
          <w:trHeight w:val="449"/>
          <w:jc w:val="center"/>
        </w:trPr>
        <w:tc>
          <w:tcPr>
            <w:tcW w:w="4248" w:type="dxa"/>
            <w:vAlign w:val="center"/>
          </w:tcPr>
          <w:p w14:paraId="4C615A48" w14:textId="77777777" w:rsidR="000D2061" w:rsidRPr="00050BE6" w:rsidRDefault="000D2061" w:rsidP="00750E11">
            <w:pPr>
              <w:keepNext/>
              <w:widowControl w:val="0"/>
              <w:shd w:val="clear" w:color="auto" w:fill="FFFFFF"/>
              <w:snapToGrid w:val="0"/>
              <w:spacing w:before="60" w:after="60" w:line="288" w:lineRule="auto"/>
              <w:ind w:firstLine="0"/>
              <w:rPr>
                <w:rFonts w:eastAsiaTheme="majorEastAsia"/>
                <w:b/>
                <w:sz w:val="24"/>
                <w:szCs w:val="24"/>
                <w:lang w:val="vi-VN" w:eastAsia="ja-JP"/>
              </w:rPr>
            </w:pPr>
            <w:r w:rsidRPr="00843A61">
              <w:rPr>
                <w:rFonts w:eastAsia="Arial"/>
                <w:b/>
                <w:color w:val="000000"/>
                <w:sz w:val="24"/>
                <w:szCs w:val="24"/>
                <w:shd w:val="clear" w:color="auto" w:fill="FFFFFF"/>
                <w:lang w:val="vi-VN" w:eastAsia="ja-JP"/>
              </w:rPr>
              <w:lastRenderedPageBreak/>
              <w:t>Chỉ tiêu</w:t>
            </w:r>
          </w:p>
        </w:tc>
        <w:tc>
          <w:tcPr>
            <w:tcW w:w="1559" w:type="dxa"/>
            <w:vAlign w:val="center"/>
          </w:tcPr>
          <w:p w14:paraId="4DD151F3" w14:textId="77777777" w:rsidR="000D2061" w:rsidRPr="00050BE6" w:rsidRDefault="000D2061" w:rsidP="00750E11">
            <w:pPr>
              <w:keepNext/>
              <w:widowControl w:val="0"/>
              <w:shd w:val="clear" w:color="auto" w:fill="FFFFFF"/>
              <w:snapToGrid w:val="0"/>
              <w:spacing w:before="60" w:after="60" w:line="288" w:lineRule="auto"/>
              <w:ind w:firstLine="0"/>
              <w:jc w:val="center"/>
              <w:rPr>
                <w:rFonts w:eastAsiaTheme="majorEastAsia"/>
                <w:b/>
                <w:sz w:val="24"/>
                <w:szCs w:val="24"/>
                <w:lang w:val="vi-VN" w:eastAsia="ja-JP"/>
              </w:rPr>
            </w:pPr>
            <w:r w:rsidRPr="00843A61">
              <w:rPr>
                <w:rFonts w:eastAsia="Arial"/>
                <w:b/>
                <w:color w:val="000000"/>
                <w:sz w:val="24"/>
                <w:szCs w:val="24"/>
                <w:shd w:val="clear" w:color="auto" w:fill="FFFFFF"/>
                <w:lang w:val="vi-VN" w:eastAsia="ja-JP"/>
              </w:rPr>
              <w:t>Đơn vị tính</w:t>
            </w:r>
          </w:p>
        </w:tc>
        <w:tc>
          <w:tcPr>
            <w:tcW w:w="1636" w:type="dxa"/>
            <w:vAlign w:val="center"/>
          </w:tcPr>
          <w:p w14:paraId="7241B04A" w14:textId="77777777" w:rsidR="000D2061" w:rsidRPr="00050BE6" w:rsidRDefault="000D2061" w:rsidP="00750E11">
            <w:pPr>
              <w:keepNext/>
              <w:widowControl w:val="0"/>
              <w:shd w:val="clear" w:color="auto" w:fill="FFFFFF"/>
              <w:snapToGrid w:val="0"/>
              <w:spacing w:before="60" w:after="60" w:line="288" w:lineRule="auto"/>
              <w:ind w:firstLine="0"/>
              <w:jc w:val="center"/>
              <w:rPr>
                <w:rFonts w:eastAsiaTheme="majorEastAsia"/>
                <w:b/>
                <w:sz w:val="24"/>
                <w:szCs w:val="24"/>
                <w:lang w:val="vi-VN" w:eastAsia="ja-JP"/>
              </w:rPr>
            </w:pPr>
            <w:r w:rsidRPr="00843A61">
              <w:rPr>
                <w:rFonts w:eastAsia="Arial"/>
                <w:b/>
                <w:color w:val="000000"/>
                <w:sz w:val="24"/>
                <w:szCs w:val="24"/>
                <w:shd w:val="clear" w:color="auto" w:fill="FFFFFF"/>
                <w:lang w:val="vi-VN" w:eastAsia="ja-JP"/>
              </w:rPr>
              <w:t>2015</w:t>
            </w:r>
          </w:p>
        </w:tc>
        <w:tc>
          <w:tcPr>
            <w:tcW w:w="1645" w:type="dxa"/>
            <w:vAlign w:val="center"/>
          </w:tcPr>
          <w:p w14:paraId="5D14FEFE" w14:textId="553AF850" w:rsidR="000D2061" w:rsidRPr="00843A61" w:rsidRDefault="000D2061" w:rsidP="00750E11">
            <w:pPr>
              <w:keepNext/>
              <w:widowControl w:val="0"/>
              <w:shd w:val="clear" w:color="auto" w:fill="FFFFFF"/>
              <w:snapToGrid w:val="0"/>
              <w:spacing w:before="60" w:after="60" w:line="288" w:lineRule="auto"/>
              <w:ind w:firstLine="0"/>
              <w:jc w:val="center"/>
              <w:rPr>
                <w:rFonts w:eastAsia="Arial"/>
                <w:b/>
                <w:color w:val="000000"/>
                <w:sz w:val="24"/>
                <w:szCs w:val="24"/>
                <w:shd w:val="clear" w:color="auto" w:fill="FFFFFF"/>
                <w:lang w:val="vi-VN" w:eastAsia="ja-JP"/>
              </w:rPr>
            </w:pPr>
            <w:r w:rsidRPr="00750E11">
              <w:rPr>
                <w:rFonts w:eastAsia="Arial"/>
                <w:b/>
                <w:color w:val="000000"/>
                <w:sz w:val="24"/>
                <w:szCs w:val="24"/>
                <w:shd w:val="clear" w:color="auto" w:fill="FFFFFF"/>
                <w:lang w:val="vi-VN" w:eastAsia="ja-JP"/>
              </w:rPr>
              <w:t>2020</w:t>
            </w:r>
          </w:p>
        </w:tc>
      </w:tr>
      <w:tr w:rsidR="000D2061" w:rsidRPr="00050BE6" w14:paraId="6AB5CB9E" w14:textId="77777777" w:rsidTr="009957D2">
        <w:trPr>
          <w:trHeight w:val="501"/>
          <w:jc w:val="center"/>
        </w:trPr>
        <w:tc>
          <w:tcPr>
            <w:tcW w:w="4248" w:type="dxa"/>
            <w:vAlign w:val="center"/>
          </w:tcPr>
          <w:p w14:paraId="234A8ED4" w14:textId="77777777" w:rsidR="000D2061" w:rsidRPr="00843A61" w:rsidRDefault="000D2061" w:rsidP="00750E11">
            <w:pPr>
              <w:widowControl w:val="0"/>
              <w:shd w:val="clear" w:color="auto" w:fill="FFFFFF"/>
              <w:snapToGrid w:val="0"/>
              <w:spacing w:before="60" w:after="60" w:line="288" w:lineRule="auto"/>
              <w:ind w:firstLine="0"/>
              <w:rPr>
                <w:rFonts w:eastAsia="Arial"/>
                <w:color w:val="000000"/>
                <w:sz w:val="26"/>
                <w:szCs w:val="26"/>
                <w:shd w:val="clear" w:color="auto" w:fill="FFFFFF"/>
                <w:lang w:val="vi-VN" w:eastAsia="ja-JP"/>
              </w:rPr>
            </w:pPr>
            <w:r w:rsidRPr="00843A61">
              <w:rPr>
                <w:rFonts w:eastAsia="Arial"/>
                <w:color w:val="000000"/>
                <w:sz w:val="26"/>
                <w:szCs w:val="26"/>
                <w:shd w:val="clear" w:color="auto" w:fill="FFFFFF"/>
                <w:lang w:val="vi-VN" w:eastAsia="ja-JP"/>
              </w:rPr>
              <w:t>Số lượng các khu CNTT tập trung</w:t>
            </w:r>
          </w:p>
        </w:tc>
        <w:tc>
          <w:tcPr>
            <w:tcW w:w="1559" w:type="dxa"/>
            <w:vAlign w:val="center"/>
          </w:tcPr>
          <w:p w14:paraId="7E562305" w14:textId="77777777" w:rsidR="000D2061" w:rsidRPr="00050BE6" w:rsidRDefault="000D2061" w:rsidP="00750E11">
            <w:pPr>
              <w:widowControl w:val="0"/>
              <w:shd w:val="clear" w:color="auto" w:fill="FFFFFF"/>
              <w:snapToGrid w:val="0"/>
              <w:spacing w:before="60" w:after="60" w:line="288" w:lineRule="auto"/>
              <w:ind w:firstLine="0"/>
              <w:jc w:val="center"/>
              <w:rPr>
                <w:rFonts w:eastAsiaTheme="majorEastAsia"/>
                <w:sz w:val="26"/>
                <w:szCs w:val="26"/>
                <w:lang w:val="vi-VN" w:eastAsia="ja-JP"/>
              </w:rPr>
            </w:pPr>
            <w:r w:rsidRPr="00843A61">
              <w:rPr>
                <w:rFonts w:eastAsia="Arial"/>
                <w:color w:val="000000"/>
                <w:sz w:val="26"/>
                <w:szCs w:val="26"/>
                <w:shd w:val="clear" w:color="auto" w:fill="FFFFFF"/>
                <w:lang w:val="vi-VN" w:eastAsia="ja-JP"/>
              </w:rPr>
              <w:t>khu</w:t>
            </w:r>
          </w:p>
        </w:tc>
        <w:tc>
          <w:tcPr>
            <w:tcW w:w="1636" w:type="dxa"/>
            <w:vAlign w:val="center"/>
          </w:tcPr>
          <w:p w14:paraId="498A6602" w14:textId="77777777" w:rsidR="000D2061" w:rsidRPr="00050BE6" w:rsidRDefault="000D2061" w:rsidP="00750E11">
            <w:pPr>
              <w:widowControl w:val="0"/>
              <w:shd w:val="clear" w:color="auto" w:fill="FFFFFF"/>
              <w:snapToGrid w:val="0"/>
              <w:spacing w:before="60" w:after="60" w:line="288" w:lineRule="auto"/>
              <w:ind w:firstLine="0"/>
              <w:jc w:val="right"/>
              <w:rPr>
                <w:rFonts w:eastAsiaTheme="majorEastAsia"/>
                <w:sz w:val="26"/>
                <w:szCs w:val="26"/>
                <w:lang w:val="vi-VN" w:eastAsia="ja-JP"/>
              </w:rPr>
            </w:pPr>
            <w:r w:rsidRPr="00050BE6">
              <w:rPr>
                <w:rFonts w:eastAsiaTheme="majorEastAsia"/>
                <w:sz w:val="26"/>
                <w:szCs w:val="26"/>
                <w:lang w:val="vi-VN" w:eastAsia="ja-JP"/>
              </w:rPr>
              <w:t>3</w:t>
            </w:r>
          </w:p>
        </w:tc>
        <w:tc>
          <w:tcPr>
            <w:tcW w:w="1645" w:type="dxa"/>
            <w:vAlign w:val="center"/>
          </w:tcPr>
          <w:p w14:paraId="5D7849D8" w14:textId="52550A53" w:rsidR="000D2061" w:rsidRPr="00750E11" w:rsidRDefault="000D2061" w:rsidP="00750E11">
            <w:pPr>
              <w:keepNext/>
              <w:widowControl w:val="0"/>
              <w:shd w:val="clear" w:color="auto" w:fill="FFFFFF"/>
              <w:snapToGrid w:val="0"/>
              <w:spacing w:before="60" w:after="60" w:line="288" w:lineRule="auto"/>
              <w:ind w:firstLine="0"/>
              <w:jc w:val="center"/>
              <w:rPr>
                <w:rFonts w:eastAsia="Arial"/>
                <w:color w:val="000000"/>
                <w:sz w:val="24"/>
                <w:szCs w:val="24"/>
                <w:shd w:val="clear" w:color="auto" w:fill="FFFFFF"/>
                <w:lang w:val="vi-VN" w:eastAsia="ja-JP"/>
              </w:rPr>
            </w:pPr>
            <w:r w:rsidRPr="00750E11">
              <w:rPr>
                <w:rFonts w:eastAsia="Arial"/>
                <w:color w:val="000000"/>
                <w:sz w:val="24"/>
                <w:szCs w:val="24"/>
                <w:shd w:val="clear" w:color="auto" w:fill="FFFFFF"/>
                <w:lang w:val="vi-VN" w:eastAsia="ja-JP"/>
              </w:rPr>
              <w:t>6</w:t>
            </w:r>
          </w:p>
        </w:tc>
      </w:tr>
      <w:tr w:rsidR="000D2061" w:rsidRPr="00050BE6" w14:paraId="5DA02645" w14:textId="77777777" w:rsidTr="009957D2">
        <w:trPr>
          <w:trHeight w:val="488"/>
          <w:jc w:val="center"/>
        </w:trPr>
        <w:tc>
          <w:tcPr>
            <w:tcW w:w="4248" w:type="dxa"/>
            <w:vAlign w:val="center"/>
          </w:tcPr>
          <w:p w14:paraId="5B5158AB" w14:textId="77777777" w:rsidR="000D2061" w:rsidRPr="00843A61" w:rsidRDefault="000D2061" w:rsidP="00750E11">
            <w:pPr>
              <w:widowControl w:val="0"/>
              <w:shd w:val="clear" w:color="auto" w:fill="FFFFFF"/>
              <w:snapToGrid w:val="0"/>
              <w:spacing w:before="60" w:after="60" w:line="288" w:lineRule="auto"/>
              <w:ind w:firstLine="0"/>
              <w:rPr>
                <w:rFonts w:eastAsia="Arial"/>
                <w:color w:val="000000"/>
                <w:sz w:val="26"/>
                <w:szCs w:val="26"/>
                <w:shd w:val="clear" w:color="auto" w:fill="FFFFFF"/>
                <w:lang w:val="vi-VN" w:eastAsia="ja-JP"/>
              </w:rPr>
            </w:pPr>
            <w:r w:rsidRPr="00843A61">
              <w:rPr>
                <w:rFonts w:eastAsia="Arial"/>
                <w:color w:val="000000"/>
                <w:sz w:val="26"/>
                <w:szCs w:val="26"/>
                <w:shd w:val="clear" w:color="auto" w:fill="FFFFFF"/>
                <w:lang w:val="vi-VN" w:eastAsia="ja-JP"/>
              </w:rPr>
              <w:t>Tổng quỹ đất</w:t>
            </w:r>
          </w:p>
        </w:tc>
        <w:tc>
          <w:tcPr>
            <w:tcW w:w="1559" w:type="dxa"/>
            <w:vAlign w:val="center"/>
          </w:tcPr>
          <w:p w14:paraId="5AC38404" w14:textId="77777777" w:rsidR="000D2061" w:rsidRPr="00050BE6" w:rsidRDefault="000D2061" w:rsidP="00750E11">
            <w:pPr>
              <w:widowControl w:val="0"/>
              <w:shd w:val="clear" w:color="auto" w:fill="FFFFFF"/>
              <w:snapToGrid w:val="0"/>
              <w:spacing w:before="60" w:after="60" w:line="288" w:lineRule="auto"/>
              <w:ind w:firstLine="0"/>
              <w:jc w:val="center"/>
              <w:rPr>
                <w:rFonts w:eastAsiaTheme="majorEastAsia"/>
                <w:sz w:val="26"/>
                <w:szCs w:val="26"/>
                <w:lang w:val="vi-VN" w:eastAsia="ja-JP"/>
              </w:rPr>
            </w:pPr>
            <w:r w:rsidRPr="00843A61">
              <w:rPr>
                <w:rFonts w:eastAsia="Arial"/>
                <w:color w:val="000000"/>
                <w:sz w:val="26"/>
                <w:szCs w:val="26"/>
                <w:shd w:val="clear" w:color="auto" w:fill="FFFFFF"/>
                <w:lang w:val="vi-VN" w:eastAsia="ja-JP"/>
              </w:rPr>
              <w:t>m</w:t>
            </w:r>
            <w:r w:rsidRPr="00843A61">
              <w:rPr>
                <w:rFonts w:eastAsia="Arial"/>
                <w:color w:val="000000"/>
                <w:sz w:val="26"/>
                <w:szCs w:val="26"/>
                <w:shd w:val="clear" w:color="auto" w:fill="FFFFFF"/>
                <w:vertAlign w:val="superscript"/>
                <w:lang w:val="vi-VN" w:eastAsia="ja-JP"/>
              </w:rPr>
              <w:t>2</w:t>
            </w:r>
          </w:p>
        </w:tc>
        <w:tc>
          <w:tcPr>
            <w:tcW w:w="1636" w:type="dxa"/>
            <w:vAlign w:val="center"/>
          </w:tcPr>
          <w:p w14:paraId="19AC7CE0" w14:textId="77777777" w:rsidR="000D2061" w:rsidRPr="00050BE6" w:rsidRDefault="000D2061" w:rsidP="00750E11">
            <w:pPr>
              <w:widowControl w:val="0"/>
              <w:shd w:val="clear" w:color="auto" w:fill="FFFFFF"/>
              <w:snapToGrid w:val="0"/>
              <w:spacing w:before="60" w:after="60" w:line="288" w:lineRule="auto"/>
              <w:ind w:firstLine="0"/>
              <w:jc w:val="right"/>
              <w:rPr>
                <w:rFonts w:eastAsiaTheme="majorEastAsia"/>
                <w:sz w:val="26"/>
                <w:szCs w:val="26"/>
                <w:lang w:val="vi-VN" w:eastAsia="ja-JP"/>
              </w:rPr>
            </w:pPr>
            <w:r w:rsidRPr="00843A61">
              <w:rPr>
                <w:rFonts w:eastAsia="Arial"/>
                <w:color w:val="000000"/>
                <w:sz w:val="26"/>
                <w:szCs w:val="26"/>
                <w:shd w:val="clear" w:color="auto" w:fill="FFFFFF"/>
                <w:lang w:val="vi-VN" w:eastAsia="ja-JP"/>
              </w:rPr>
              <w:t>524.875</w:t>
            </w:r>
          </w:p>
        </w:tc>
        <w:tc>
          <w:tcPr>
            <w:tcW w:w="1645" w:type="dxa"/>
            <w:vAlign w:val="center"/>
          </w:tcPr>
          <w:p w14:paraId="093F54AD" w14:textId="2379F642" w:rsidR="000D2061" w:rsidRPr="00750E11" w:rsidRDefault="000D2061" w:rsidP="00750E11">
            <w:pPr>
              <w:keepNext/>
              <w:widowControl w:val="0"/>
              <w:shd w:val="clear" w:color="auto" w:fill="FFFFFF"/>
              <w:snapToGrid w:val="0"/>
              <w:spacing w:before="60" w:after="60" w:line="288" w:lineRule="auto"/>
              <w:ind w:firstLine="0"/>
              <w:jc w:val="center"/>
              <w:rPr>
                <w:rFonts w:eastAsia="Arial"/>
                <w:color w:val="000000"/>
                <w:sz w:val="24"/>
                <w:szCs w:val="24"/>
                <w:shd w:val="clear" w:color="auto" w:fill="FFFFFF"/>
                <w:lang w:val="vi-VN" w:eastAsia="ja-JP"/>
              </w:rPr>
            </w:pPr>
            <w:r w:rsidRPr="00750E11">
              <w:rPr>
                <w:rFonts w:eastAsia="Arial"/>
                <w:color w:val="000000"/>
                <w:sz w:val="24"/>
                <w:szCs w:val="24"/>
                <w:shd w:val="clear" w:color="auto" w:fill="FFFFFF"/>
                <w:lang w:val="vi-VN" w:eastAsia="ja-JP"/>
              </w:rPr>
              <w:t>2.426.157</w:t>
            </w:r>
          </w:p>
        </w:tc>
      </w:tr>
      <w:tr w:rsidR="000D2061" w:rsidRPr="00050BE6" w14:paraId="431D153A" w14:textId="77777777" w:rsidTr="009957D2">
        <w:trPr>
          <w:trHeight w:val="501"/>
          <w:jc w:val="center"/>
        </w:trPr>
        <w:tc>
          <w:tcPr>
            <w:tcW w:w="4248" w:type="dxa"/>
            <w:vAlign w:val="center"/>
          </w:tcPr>
          <w:p w14:paraId="63E91276" w14:textId="77777777" w:rsidR="000D2061" w:rsidRPr="00843A61" w:rsidRDefault="000D2061" w:rsidP="00750E11">
            <w:pPr>
              <w:widowControl w:val="0"/>
              <w:shd w:val="clear" w:color="auto" w:fill="FFFFFF"/>
              <w:snapToGrid w:val="0"/>
              <w:spacing w:before="60" w:after="60" w:line="288" w:lineRule="auto"/>
              <w:ind w:firstLine="0"/>
              <w:rPr>
                <w:rFonts w:eastAsia="Arial"/>
                <w:color w:val="000000"/>
                <w:spacing w:val="-8"/>
                <w:sz w:val="26"/>
                <w:szCs w:val="26"/>
                <w:shd w:val="clear" w:color="auto" w:fill="FFFFFF"/>
                <w:lang w:val="vi-VN" w:eastAsia="ja-JP"/>
              </w:rPr>
            </w:pPr>
            <w:r w:rsidRPr="00843A61">
              <w:rPr>
                <w:rFonts w:eastAsia="Arial"/>
                <w:color w:val="000000"/>
                <w:spacing w:val="-8"/>
                <w:sz w:val="26"/>
                <w:szCs w:val="26"/>
                <w:shd w:val="clear" w:color="auto" w:fill="FFFFFF"/>
                <w:lang w:val="vi-VN" w:eastAsia="ja-JP"/>
              </w:rPr>
              <w:t>Tổng diện tích văn phòng làm việc</w:t>
            </w:r>
          </w:p>
        </w:tc>
        <w:tc>
          <w:tcPr>
            <w:tcW w:w="1559" w:type="dxa"/>
            <w:vAlign w:val="center"/>
          </w:tcPr>
          <w:p w14:paraId="7F761A32" w14:textId="77777777" w:rsidR="000D2061" w:rsidRPr="00050BE6" w:rsidRDefault="000D2061" w:rsidP="00750E11">
            <w:pPr>
              <w:widowControl w:val="0"/>
              <w:shd w:val="clear" w:color="auto" w:fill="FFFFFF"/>
              <w:snapToGrid w:val="0"/>
              <w:spacing w:before="60" w:after="60" w:line="288" w:lineRule="auto"/>
              <w:ind w:firstLine="0"/>
              <w:jc w:val="center"/>
              <w:rPr>
                <w:rFonts w:eastAsiaTheme="majorEastAsia"/>
                <w:sz w:val="26"/>
                <w:szCs w:val="26"/>
                <w:lang w:val="vi-VN" w:eastAsia="ja-JP"/>
              </w:rPr>
            </w:pPr>
            <w:r w:rsidRPr="00843A61">
              <w:rPr>
                <w:rFonts w:eastAsia="Arial"/>
                <w:color w:val="000000"/>
                <w:sz w:val="26"/>
                <w:szCs w:val="26"/>
                <w:shd w:val="clear" w:color="auto" w:fill="FFFFFF"/>
                <w:lang w:val="vi-VN" w:eastAsia="ja-JP"/>
              </w:rPr>
              <w:t>m</w:t>
            </w:r>
            <w:r w:rsidRPr="00843A61">
              <w:rPr>
                <w:rFonts w:eastAsia="Arial"/>
                <w:color w:val="000000"/>
                <w:sz w:val="26"/>
                <w:szCs w:val="26"/>
                <w:shd w:val="clear" w:color="auto" w:fill="FFFFFF"/>
                <w:vertAlign w:val="superscript"/>
                <w:lang w:val="vi-VN" w:eastAsia="ja-JP"/>
              </w:rPr>
              <w:t>2</w:t>
            </w:r>
          </w:p>
        </w:tc>
        <w:tc>
          <w:tcPr>
            <w:tcW w:w="1636" w:type="dxa"/>
            <w:vAlign w:val="center"/>
          </w:tcPr>
          <w:p w14:paraId="70D7EE7E" w14:textId="77777777" w:rsidR="000D2061" w:rsidRPr="00050BE6" w:rsidRDefault="000D2061" w:rsidP="00750E11">
            <w:pPr>
              <w:widowControl w:val="0"/>
              <w:shd w:val="clear" w:color="auto" w:fill="FFFFFF"/>
              <w:snapToGrid w:val="0"/>
              <w:spacing w:before="60" w:after="60" w:line="288" w:lineRule="auto"/>
              <w:ind w:firstLine="0"/>
              <w:jc w:val="right"/>
              <w:rPr>
                <w:rFonts w:eastAsiaTheme="majorEastAsia"/>
                <w:sz w:val="26"/>
                <w:szCs w:val="26"/>
                <w:lang w:val="vi-VN" w:eastAsia="ja-JP"/>
              </w:rPr>
            </w:pPr>
            <w:r w:rsidRPr="00843A61">
              <w:rPr>
                <w:rFonts w:eastAsia="Arial"/>
                <w:color w:val="000000"/>
                <w:sz w:val="26"/>
                <w:szCs w:val="26"/>
                <w:shd w:val="clear" w:color="auto" w:fill="FFFFFF"/>
                <w:lang w:val="vi-VN" w:eastAsia="ja-JP"/>
              </w:rPr>
              <w:t>466.215</w:t>
            </w:r>
          </w:p>
        </w:tc>
        <w:tc>
          <w:tcPr>
            <w:tcW w:w="1645" w:type="dxa"/>
            <w:vAlign w:val="center"/>
          </w:tcPr>
          <w:p w14:paraId="26E53B35" w14:textId="18E90F3B" w:rsidR="000D2061" w:rsidRPr="00750E11" w:rsidRDefault="000D2061" w:rsidP="00750E11">
            <w:pPr>
              <w:keepNext/>
              <w:widowControl w:val="0"/>
              <w:shd w:val="clear" w:color="auto" w:fill="FFFFFF"/>
              <w:snapToGrid w:val="0"/>
              <w:spacing w:before="60" w:after="60" w:line="288" w:lineRule="auto"/>
              <w:ind w:firstLine="0"/>
              <w:jc w:val="center"/>
              <w:rPr>
                <w:rFonts w:eastAsia="Arial"/>
                <w:color w:val="000000"/>
                <w:sz w:val="24"/>
                <w:szCs w:val="24"/>
                <w:shd w:val="clear" w:color="auto" w:fill="FFFFFF"/>
                <w:lang w:val="vi-VN" w:eastAsia="ja-JP"/>
              </w:rPr>
            </w:pPr>
            <w:r w:rsidRPr="00750E11">
              <w:rPr>
                <w:rFonts w:eastAsia="Arial"/>
                <w:color w:val="000000"/>
                <w:sz w:val="24"/>
                <w:szCs w:val="24"/>
                <w:shd w:val="clear" w:color="auto" w:fill="FFFFFF"/>
                <w:lang w:val="vi-VN" w:eastAsia="ja-JP"/>
              </w:rPr>
              <w:t>1.398.623</w:t>
            </w:r>
          </w:p>
        </w:tc>
      </w:tr>
      <w:tr w:rsidR="000D2061" w:rsidRPr="00050BE6" w14:paraId="65DBC741" w14:textId="77777777" w:rsidTr="009957D2">
        <w:trPr>
          <w:trHeight w:val="766"/>
          <w:jc w:val="center"/>
        </w:trPr>
        <w:tc>
          <w:tcPr>
            <w:tcW w:w="4248" w:type="dxa"/>
            <w:vAlign w:val="center"/>
          </w:tcPr>
          <w:p w14:paraId="4DC43C05" w14:textId="77777777" w:rsidR="000D2061" w:rsidRPr="00843A61" w:rsidRDefault="000D2061" w:rsidP="00750E11">
            <w:pPr>
              <w:widowControl w:val="0"/>
              <w:shd w:val="clear" w:color="auto" w:fill="FFFFFF"/>
              <w:snapToGrid w:val="0"/>
              <w:spacing w:before="60" w:after="60" w:line="288" w:lineRule="auto"/>
              <w:ind w:firstLine="0"/>
              <w:rPr>
                <w:rFonts w:eastAsia="Arial"/>
                <w:color w:val="000000"/>
                <w:sz w:val="26"/>
                <w:szCs w:val="26"/>
                <w:shd w:val="clear" w:color="auto" w:fill="FFFFFF"/>
                <w:lang w:val="vi-VN" w:eastAsia="ja-JP"/>
              </w:rPr>
            </w:pPr>
            <w:r w:rsidRPr="00843A61">
              <w:rPr>
                <w:rFonts w:eastAsia="Arial"/>
                <w:color w:val="000000"/>
                <w:sz w:val="26"/>
                <w:szCs w:val="26"/>
                <w:shd w:val="clear" w:color="auto" w:fill="FFFFFF"/>
                <w:lang w:val="vi-VN" w:eastAsia="ja-JP"/>
              </w:rPr>
              <w:t>Tổng số doanh nghiệp đang hoạt động trong các khu</w:t>
            </w:r>
          </w:p>
        </w:tc>
        <w:tc>
          <w:tcPr>
            <w:tcW w:w="1559" w:type="dxa"/>
            <w:vAlign w:val="center"/>
          </w:tcPr>
          <w:p w14:paraId="7C3F5F82" w14:textId="77777777" w:rsidR="000D2061" w:rsidRPr="00050BE6" w:rsidRDefault="000D2061" w:rsidP="00750E11">
            <w:pPr>
              <w:widowControl w:val="0"/>
              <w:shd w:val="clear" w:color="auto" w:fill="FFFFFF"/>
              <w:snapToGrid w:val="0"/>
              <w:spacing w:before="60" w:after="60" w:line="288" w:lineRule="auto"/>
              <w:ind w:firstLine="0"/>
              <w:jc w:val="center"/>
              <w:rPr>
                <w:rFonts w:eastAsiaTheme="majorEastAsia"/>
                <w:sz w:val="26"/>
                <w:szCs w:val="26"/>
                <w:lang w:val="vi-VN" w:eastAsia="ja-JP"/>
              </w:rPr>
            </w:pPr>
            <w:r w:rsidRPr="00843A61">
              <w:rPr>
                <w:rFonts w:eastAsia="Arial"/>
                <w:color w:val="000000"/>
                <w:sz w:val="26"/>
                <w:szCs w:val="26"/>
                <w:shd w:val="clear" w:color="auto" w:fill="FFFFFF"/>
                <w:lang w:val="vi-VN" w:eastAsia="ja-JP"/>
              </w:rPr>
              <w:t>dn</w:t>
            </w:r>
          </w:p>
        </w:tc>
        <w:tc>
          <w:tcPr>
            <w:tcW w:w="1636" w:type="dxa"/>
            <w:vAlign w:val="center"/>
          </w:tcPr>
          <w:p w14:paraId="263FFA4F" w14:textId="77777777" w:rsidR="000D2061" w:rsidRPr="00050BE6" w:rsidRDefault="000D2061" w:rsidP="00750E11">
            <w:pPr>
              <w:widowControl w:val="0"/>
              <w:shd w:val="clear" w:color="auto" w:fill="FFFFFF"/>
              <w:snapToGrid w:val="0"/>
              <w:spacing w:before="60" w:after="60" w:line="288" w:lineRule="auto"/>
              <w:ind w:firstLine="0"/>
              <w:jc w:val="right"/>
              <w:rPr>
                <w:rFonts w:eastAsiaTheme="majorEastAsia"/>
                <w:sz w:val="26"/>
                <w:szCs w:val="26"/>
                <w:lang w:val="vi-VN" w:eastAsia="ja-JP"/>
              </w:rPr>
            </w:pPr>
            <w:r w:rsidRPr="00843A61">
              <w:rPr>
                <w:rFonts w:eastAsia="Arial"/>
                <w:color w:val="000000"/>
                <w:sz w:val="26"/>
                <w:szCs w:val="26"/>
                <w:shd w:val="clear" w:color="auto" w:fill="FFFFFF"/>
                <w:lang w:val="vi-VN" w:eastAsia="ja-JP"/>
              </w:rPr>
              <w:t>300</w:t>
            </w:r>
          </w:p>
        </w:tc>
        <w:tc>
          <w:tcPr>
            <w:tcW w:w="1645" w:type="dxa"/>
            <w:vAlign w:val="center"/>
          </w:tcPr>
          <w:p w14:paraId="7F727ABE" w14:textId="3FFA0853" w:rsidR="000D2061" w:rsidRPr="00750E11" w:rsidRDefault="000D2061" w:rsidP="00750E11">
            <w:pPr>
              <w:keepNext/>
              <w:widowControl w:val="0"/>
              <w:shd w:val="clear" w:color="auto" w:fill="FFFFFF"/>
              <w:snapToGrid w:val="0"/>
              <w:spacing w:before="60" w:after="60" w:line="288" w:lineRule="auto"/>
              <w:ind w:firstLine="0"/>
              <w:jc w:val="center"/>
              <w:rPr>
                <w:rFonts w:eastAsia="Arial"/>
                <w:color w:val="000000"/>
                <w:sz w:val="24"/>
                <w:szCs w:val="24"/>
                <w:shd w:val="clear" w:color="auto" w:fill="FFFFFF"/>
                <w:lang w:val="vi-VN" w:eastAsia="ja-JP"/>
              </w:rPr>
            </w:pPr>
            <w:r w:rsidRPr="00750E11">
              <w:rPr>
                <w:rFonts w:eastAsia="Arial"/>
                <w:color w:val="000000"/>
                <w:sz w:val="24"/>
                <w:szCs w:val="24"/>
                <w:shd w:val="clear" w:color="auto" w:fill="FFFFFF"/>
                <w:lang w:val="vi-VN" w:eastAsia="ja-JP"/>
              </w:rPr>
              <w:t>trên 800</w:t>
            </w:r>
          </w:p>
        </w:tc>
      </w:tr>
      <w:tr w:rsidR="000D2061" w:rsidRPr="00050BE6" w14:paraId="7E979D79" w14:textId="77777777" w:rsidTr="009957D2">
        <w:trPr>
          <w:trHeight w:val="780"/>
          <w:jc w:val="center"/>
        </w:trPr>
        <w:tc>
          <w:tcPr>
            <w:tcW w:w="4248" w:type="dxa"/>
            <w:vAlign w:val="center"/>
          </w:tcPr>
          <w:p w14:paraId="3B77E8BF" w14:textId="77777777" w:rsidR="000D2061" w:rsidRPr="00843A61" w:rsidRDefault="000D2061" w:rsidP="00750E11">
            <w:pPr>
              <w:widowControl w:val="0"/>
              <w:shd w:val="clear" w:color="auto" w:fill="FFFFFF"/>
              <w:snapToGrid w:val="0"/>
              <w:spacing w:before="60" w:after="60" w:line="288" w:lineRule="auto"/>
              <w:ind w:firstLine="0"/>
              <w:rPr>
                <w:rFonts w:eastAsia="Arial"/>
                <w:color w:val="000000"/>
                <w:sz w:val="26"/>
                <w:szCs w:val="26"/>
                <w:shd w:val="clear" w:color="auto" w:fill="FFFFFF"/>
                <w:lang w:val="vi-VN" w:eastAsia="ja-JP"/>
              </w:rPr>
            </w:pPr>
            <w:r w:rsidRPr="00843A61">
              <w:rPr>
                <w:rFonts w:eastAsia="Arial"/>
                <w:color w:val="000000"/>
                <w:sz w:val="26"/>
                <w:szCs w:val="26"/>
                <w:shd w:val="clear" w:color="auto" w:fill="FFFFFF"/>
                <w:lang w:val="vi-VN" w:eastAsia="ja-JP"/>
              </w:rPr>
              <w:t xml:space="preserve">Tổng số nhân lực đang làm việc trong các khu </w:t>
            </w:r>
          </w:p>
        </w:tc>
        <w:tc>
          <w:tcPr>
            <w:tcW w:w="1559" w:type="dxa"/>
            <w:vAlign w:val="center"/>
          </w:tcPr>
          <w:p w14:paraId="0228C2F4" w14:textId="77777777" w:rsidR="000D2061" w:rsidRPr="00050BE6" w:rsidRDefault="000D2061" w:rsidP="00750E11">
            <w:pPr>
              <w:widowControl w:val="0"/>
              <w:shd w:val="clear" w:color="auto" w:fill="FFFFFF"/>
              <w:snapToGrid w:val="0"/>
              <w:spacing w:before="60" w:after="60" w:line="288" w:lineRule="auto"/>
              <w:ind w:firstLine="0"/>
              <w:jc w:val="center"/>
              <w:rPr>
                <w:rFonts w:eastAsiaTheme="majorEastAsia"/>
                <w:sz w:val="26"/>
                <w:szCs w:val="26"/>
                <w:lang w:val="vi-VN" w:eastAsia="ja-JP"/>
              </w:rPr>
            </w:pPr>
            <w:r w:rsidRPr="00843A61">
              <w:rPr>
                <w:rFonts w:eastAsia="Arial"/>
                <w:color w:val="000000"/>
                <w:sz w:val="26"/>
                <w:szCs w:val="26"/>
                <w:shd w:val="clear" w:color="auto" w:fill="FFFFFF"/>
                <w:lang w:val="vi-VN" w:eastAsia="ja-JP"/>
              </w:rPr>
              <w:t>người</w:t>
            </w:r>
          </w:p>
        </w:tc>
        <w:tc>
          <w:tcPr>
            <w:tcW w:w="1636" w:type="dxa"/>
            <w:vAlign w:val="center"/>
          </w:tcPr>
          <w:p w14:paraId="70CBBCC4" w14:textId="77777777" w:rsidR="000D2061" w:rsidRPr="00050BE6" w:rsidRDefault="000D2061" w:rsidP="00750E11">
            <w:pPr>
              <w:widowControl w:val="0"/>
              <w:shd w:val="clear" w:color="auto" w:fill="FFFFFF"/>
              <w:snapToGrid w:val="0"/>
              <w:spacing w:before="60" w:after="60" w:line="288" w:lineRule="auto"/>
              <w:ind w:firstLine="0"/>
              <w:jc w:val="right"/>
              <w:rPr>
                <w:rFonts w:eastAsiaTheme="majorEastAsia"/>
                <w:sz w:val="26"/>
                <w:szCs w:val="26"/>
                <w:lang w:val="vi-VN" w:eastAsia="ja-JP"/>
              </w:rPr>
            </w:pPr>
            <w:r w:rsidRPr="00843A61">
              <w:rPr>
                <w:rFonts w:eastAsia="Arial"/>
                <w:color w:val="000000"/>
                <w:sz w:val="26"/>
                <w:szCs w:val="26"/>
                <w:shd w:val="clear" w:color="auto" w:fill="FFFFFF"/>
                <w:lang w:val="vi-VN" w:eastAsia="ja-JP"/>
              </w:rPr>
              <w:t>20.000</w:t>
            </w:r>
          </w:p>
        </w:tc>
        <w:tc>
          <w:tcPr>
            <w:tcW w:w="1645" w:type="dxa"/>
            <w:vAlign w:val="center"/>
          </w:tcPr>
          <w:p w14:paraId="531598E6" w14:textId="761E3356" w:rsidR="000D2061" w:rsidRPr="00750E11" w:rsidRDefault="000D2061" w:rsidP="00750E11">
            <w:pPr>
              <w:keepNext/>
              <w:widowControl w:val="0"/>
              <w:shd w:val="clear" w:color="auto" w:fill="FFFFFF"/>
              <w:snapToGrid w:val="0"/>
              <w:spacing w:before="60" w:after="60" w:line="288" w:lineRule="auto"/>
              <w:ind w:firstLine="0"/>
              <w:jc w:val="center"/>
              <w:rPr>
                <w:rFonts w:eastAsia="Arial"/>
                <w:color w:val="000000"/>
                <w:sz w:val="24"/>
                <w:szCs w:val="24"/>
                <w:shd w:val="clear" w:color="auto" w:fill="FFFFFF"/>
                <w:lang w:val="vi-VN" w:eastAsia="ja-JP"/>
              </w:rPr>
            </w:pPr>
            <w:r w:rsidRPr="00750E11">
              <w:rPr>
                <w:rFonts w:eastAsia="Arial"/>
                <w:color w:val="000000"/>
                <w:sz w:val="24"/>
                <w:szCs w:val="24"/>
                <w:shd w:val="clear" w:color="auto" w:fill="FFFFFF"/>
                <w:lang w:val="vi-VN" w:eastAsia="ja-JP"/>
              </w:rPr>
              <w:t>trên 42.000</w:t>
            </w:r>
          </w:p>
        </w:tc>
      </w:tr>
    </w:tbl>
    <w:bookmarkEnd w:id="14"/>
    <w:p w14:paraId="198116B5" w14:textId="77777777" w:rsidR="00050BE6" w:rsidRPr="00050BE6" w:rsidRDefault="00050BE6" w:rsidP="00050BE6">
      <w:r w:rsidRPr="00050BE6">
        <w:t>Tỷ lệ lấp đầy của các khu CNTT tập trung đang hoạt động trên cả nước đạt trên 95%. Theo báo cáo của TP Hồ Chí Minh và Hà Nội, hiện nay một số doanh nghiệp lớn về lĩnh vực CNTT hoạt động trong khu CNTT tập trung đang có nhu cầu lớn về mở rộng đầu tư sản xuất, kinh doanh, do vậy rất cần thêm mặt bằng. Các khu như Công viên phần mềm Quang Trung, Công viên phần mềm Đà Nẵng, Khu CNTT tập trung Cầu Giấy đạt hiệu quả vốn đầu tư với tổng số tiền nộp ngân sách nhà nước của các đơn vị quản lý khu CNTT tập trung đã nhiều hơn tổng nguồn vốn đầu tư.</w:t>
      </w:r>
    </w:p>
    <w:p w14:paraId="0850D907" w14:textId="3B2A5594" w:rsidR="00050BE6" w:rsidRPr="00843A61" w:rsidRDefault="00677953" w:rsidP="00750E11">
      <w:pPr>
        <w:pStyle w:val="Heading2"/>
      </w:pPr>
      <w:bookmarkStart w:id="15" w:name="_Toc74064560"/>
      <w:bookmarkStart w:id="16" w:name="_Toc75262596"/>
      <w:r w:rsidRPr="00843A61">
        <w:t>II</w:t>
      </w:r>
      <w:r w:rsidR="00050BE6" w:rsidRPr="00843A61">
        <w:t xml:space="preserve">.5. Về đầu tư cho </w:t>
      </w:r>
      <w:r w:rsidR="00BE1F7B">
        <w:t>phát triển</w:t>
      </w:r>
      <w:r w:rsidR="00050BE6" w:rsidRPr="00843A61">
        <w:t xml:space="preserve"> </w:t>
      </w:r>
      <w:bookmarkEnd w:id="15"/>
      <w:bookmarkEnd w:id="16"/>
      <w:r w:rsidR="00535487">
        <w:t>CNTT</w:t>
      </w:r>
      <w:r w:rsidR="00050BE6" w:rsidRPr="00843A61">
        <w:t xml:space="preserve"> </w:t>
      </w:r>
    </w:p>
    <w:p w14:paraId="20A288A8" w14:textId="77777777" w:rsidR="00050BE6" w:rsidRPr="00050BE6" w:rsidRDefault="00050BE6" w:rsidP="00050BE6">
      <w:pPr>
        <w:rPr>
          <w:b/>
        </w:rPr>
      </w:pPr>
      <w:r w:rsidRPr="00050BE6">
        <w:rPr>
          <w:b/>
        </w:rPr>
        <w:t>Về đầu tư trong nước</w:t>
      </w:r>
    </w:p>
    <w:p w14:paraId="2E378A96" w14:textId="2CBC31F2" w:rsidR="00E82C8D" w:rsidRPr="00E1736D" w:rsidRDefault="00E82C8D" w:rsidP="00E82C8D">
      <w:r w:rsidRPr="00E1736D">
        <w:t xml:space="preserve">Giai đoạn 2011-2015, ngành thông tin và truyền thông được bố trí vốn đầu tư nguồn ngân sách trung ương khoảng 4.704 tỷ đồng, trong đó lĩnh vực công nghệ thông tin được bố trí khoảng 1.630 tỷ đồng. Giai đoạn 2016-2020, ngành công nghệ thông tin được bố trí vốn đầu tư nguồn ngân sách trung ương khoảng 2.358 tỷ đồng, trong đó chương trình mục tiêu công nghệ thông tin được bố trí 844 tỷ đồng. Tổng số vốn bố trí cho Chương trình mục tiêu công nghệ thông tin giai đoạn 2016-2020 mới đạt 28,5% nhu cầu là </w:t>
      </w:r>
      <w:r w:rsidR="00BE1F7B">
        <w:t xml:space="preserve">rất </w:t>
      </w:r>
      <w:r w:rsidRPr="00E1736D">
        <w:t>thấp</w:t>
      </w:r>
      <w:r w:rsidRPr="00E1736D">
        <w:rPr>
          <w:rStyle w:val="FootnoteReference"/>
        </w:rPr>
        <w:footnoteReference w:id="3"/>
      </w:r>
      <w:r w:rsidRPr="00E1736D">
        <w:t>.</w:t>
      </w:r>
    </w:p>
    <w:p w14:paraId="31D8FED7" w14:textId="77777777" w:rsidR="00556A9E" w:rsidRDefault="00556A9E" w:rsidP="00556A9E">
      <w:r>
        <w:t>Về NSNN chi cho mua sắm sản phẩm, dịch vụ CNTT, chỉ tính riêng 02 năm 2017, 2018, t</w:t>
      </w:r>
      <w:r w:rsidRPr="00556A9E">
        <w:t>ổng kinh phí đầu tư, mua sắm sản phẩm, dịch vụ CNTT tại các Bộ, ngành và địa phương khoảng 12.000 tỉ đồng.</w:t>
      </w:r>
      <w:r>
        <w:t xml:space="preserve"> Trong đó k</w:t>
      </w:r>
      <w:r w:rsidRPr="00556A9E">
        <w:t xml:space="preserve">inh phí đầu tư, mua sắm sản phẩm, dịch vụ trong nước chiếm khoảng 42%; </w:t>
      </w:r>
      <w:r>
        <w:t>k</w:t>
      </w:r>
      <w:r w:rsidRPr="00556A9E">
        <w:t>inh phí đầu tư, mua sắm sản phẩm, dịch vụ nước ngoài chiếm khoảng 48%.</w:t>
      </w:r>
    </w:p>
    <w:p w14:paraId="7DFB944E" w14:textId="77777777" w:rsidR="004A7791" w:rsidRDefault="004A7791" w:rsidP="00050BE6">
      <w:pPr>
        <w:rPr>
          <w:b/>
        </w:rPr>
      </w:pPr>
    </w:p>
    <w:p w14:paraId="37757357" w14:textId="77777777" w:rsidR="004A7791" w:rsidRDefault="004A7791" w:rsidP="00050BE6">
      <w:pPr>
        <w:rPr>
          <w:b/>
        </w:rPr>
      </w:pPr>
    </w:p>
    <w:p w14:paraId="2FD6A5F3" w14:textId="77777777" w:rsidR="004A7791" w:rsidRDefault="004A7791" w:rsidP="00050BE6">
      <w:pPr>
        <w:rPr>
          <w:b/>
        </w:rPr>
      </w:pPr>
    </w:p>
    <w:p w14:paraId="6CB55B3D" w14:textId="77777777" w:rsidR="00050BE6" w:rsidRPr="00050BE6" w:rsidRDefault="00050BE6" w:rsidP="00050BE6">
      <w:pPr>
        <w:rPr>
          <w:b/>
        </w:rPr>
      </w:pPr>
      <w:r w:rsidRPr="00050BE6">
        <w:rPr>
          <w:b/>
        </w:rPr>
        <w:lastRenderedPageBreak/>
        <w:t>Về đầu tư nước ngoài</w:t>
      </w:r>
    </w:p>
    <w:p w14:paraId="047A2AE6" w14:textId="6221E35C" w:rsidR="00050BE6" w:rsidRPr="00050BE6" w:rsidRDefault="00050BE6" w:rsidP="00050BE6">
      <w:pPr>
        <w:widowControl w:val="0"/>
        <w:jc w:val="center"/>
        <w:rPr>
          <w:rFonts w:eastAsiaTheme="majorEastAsia"/>
          <w:i/>
          <w:sz w:val="24"/>
          <w:lang w:eastAsia="ja-JP"/>
        </w:rPr>
      </w:pPr>
      <w:r w:rsidRPr="00050BE6">
        <w:rPr>
          <w:rFonts w:eastAsiaTheme="majorEastAsia"/>
          <w:i/>
          <w:sz w:val="24"/>
          <w:lang w:val="vi-VN" w:eastAsia="ja-JP"/>
        </w:rPr>
        <w:t xml:space="preserve">Đầu tư nước ngoài trong lĩnh vực </w:t>
      </w:r>
      <w:r w:rsidRPr="00050BE6">
        <w:rPr>
          <w:rFonts w:eastAsiaTheme="majorEastAsia"/>
          <w:i/>
          <w:sz w:val="24"/>
          <w:lang w:eastAsia="ja-JP"/>
        </w:rPr>
        <w:t xml:space="preserve">công nghiệp </w:t>
      </w:r>
      <w:r w:rsidR="00535487">
        <w:rPr>
          <w:rFonts w:eastAsiaTheme="majorEastAsia"/>
          <w:i/>
          <w:sz w:val="24"/>
          <w:lang w:eastAsia="ja-JP"/>
        </w:rPr>
        <w:t>CNTT</w:t>
      </w:r>
    </w:p>
    <w:tbl>
      <w:tblPr>
        <w:tblW w:w="5000" w:type="pct"/>
        <w:jc w:val="center"/>
        <w:tblLook w:val="04A0" w:firstRow="1" w:lastRow="0" w:firstColumn="1" w:lastColumn="0" w:noHBand="0" w:noVBand="1"/>
      </w:tblPr>
      <w:tblGrid>
        <w:gridCol w:w="5899"/>
        <w:gridCol w:w="1131"/>
        <w:gridCol w:w="1129"/>
        <w:gridCol w:w="1129"/>
      </w:tblGrid>
      <w:tr w:rsidR="00050BE6" w:rsidRPr="00050BE6" w14:paraId="5E89F469" w14:textId="77777777" w:rsidTr="009957D2">
        <w:trPr>
          <w:trHeight w:val="589"/>
          <w:jc w:val="center"/>
        </w:trPr>
        <w:tc>
          <w:tcPr>
            <w:tcW w:w="3175" w:type="pct"/>
            <w:tcBorders>
              <w:top w:val="single" w:sz="4" w:space="0" w:color="000000"/>
              <w:left w:val="single" w:sz="4" w:space="0" w:color="000000"/>
              <w:bottom w:val="single" w:sz="4" w:space="0" w:color="000000"/>
              <w:right w:val="nil"/>
            </w:tcBorders>
            <w:vAlign w:val="center"/>
            <w:hideMark/>
          </w:tcPr>
          <w:p w14:paraId="5DCC7738" w14:textId="77777777" w:rsidR="00050BE6" w:rsidRPr="00050BE6" w:rsidRDefault="00050BE6" w:rsidP="00750E11">
            <w:pPr>
              <w:snapToGrid w:val="0"/>
              <w:spacing w:before="100" w:beforeAutospacing="1" w:after="100" w:afterAutospacing="1"/>
              <w:ind w:firstLine="0"/>
              <w:jc w:val="center"/>
              <w:rPr>
                <w:rFonts w:eastAsiaTheme="majorEastAsia"/>
                <w:b/>
                <w:sz w:val="24"/>
                <w:lang w:val="vi-VN" w:eastAsia="ja-JP"/>
              </w:rPr>
            </w:pPr>
            <w:r w:rsidRPr="00050BE6">
              <w:rPr>
                <w:rFonts w:eastAsiaTheme="majorEastAsia"/>
                <w:b/>
                <w:sz w:val="24"/>
                <w:lang w:val="vi-VN" w:eastAsia="ja-JP"/>
              </w:rPr>
              <w:t>Chỉ tiêu</w:t>
            </w:r>
          </w:p>
        </w:tc>
        <w:tc>
          <w:tcPr>
            <w:tcW w:w="609" w:type="pct"/>
            <w:tcBorders>
              <w:top w:val="single" w:sz="4" w:space="0" w:color="000000"/>
              <w:left w:val="single" w:sz="4" w:space="0" w:color="000000"/>
              <w:bottom w:val="single" w:sz="4" w:space="0" w:color="000000"/>
              <w:right w:val="nil"/>
            </w:tcBorders>
            <w:vAlign w:val="center"/>
            <w:hideMark/>
          </w:tcPr>
          <w:p w14:paraId="08068BFE" w14:textId="77777777" w:rsidR="00050BE6" w:rsidRPr="00050BE6" w:rsidRDefault="00050BE6" w:rsidP="00750E11">
            <w:pPr>
              <w:snapToGrid w:val="0"/>
              <w:spacing w:before="100" w:beforeAutospacing="1" w:after="100" w:afterAutospacing="1"/>
              <w:ind w:firstLine="0"/>
              <w:jc w:val="center"/>
              <w:rPr>
                <w:rFonts w:eastAsiaTheme="majorEastAsia"/>
                <w:b/>
                <w:sz w:val="24"/>
                <w:lang w:val="vi-VN" w:eastAsia="ja-JP"/>
              </w:rPr>
            </w:pPr>
            <w:r w:rsidRPr="00050BE6">
              <w:rPr>
                <w:rFonts w:eastAsiaTheme="majorEastAsia"/>
                <w:b/>
                <w:sz w:val="24"/>
                <w:lang w:val="vi-VN" w:eastAsia="ja-JP"/>
              </w:rPr>
              <w:t>Đơn vị tính</w:t>
            </w:r>
          </w:p>
        </w:tc>
        <w:tc>
          <w:tcPr>
            <w:tcW w:w="608" w:type="pct"/>
            <w:tcBorders>
              <w:top w:val="single" w:sz="4" w:space="0" w:color="000000"/>
              <w:left w:val="single" w:sz="4" w:space="0" w:color="000000"/>
              <w:bottom w:val="single" w:sz="4" w:space="0" w:color="000000"/>
              <w:right w:val="single" w:sz="4" w:space="0" w:color="000000"/>
            </w:tcBorders>
            <w:vAlign w:val="center"/>
            <w:hideMark/>
          </w:tcPr>
          <w:p w14:paraId="7E355148" w14:textId="77777777" w:rsidR="00050BE6" w:rsidRPr="00050BE6" w:rsidRDefault="00050BE6" w:rsidP="00750E11">
            <w:pPr>
              <w:tabs>
                <w:tab w:val="center" w:pos="449"/>
              </w:tabs>
              <w:snapToGrid w:val="0"/>
              <w:spacing w:before="100" w:beforeAutospacing="1" w:after="100" w:afterAutospacing="1"/>
              <w:ind w:firstLine="0"/>
              <w:jc w:val="center"/>
              <w:rPr>
                <w:rFonts w:eastAsiaTheme="majorEastAsia"/>
                <w:b/>
                <w:sz w:val="24"/>
                <w:lang w:val="vi-VN" w:eastAsia="ja-JP"/>
              </w:rPr>
            </w:pPr>
            <w:r w:rsidRPr="00050BE6">
              <w:rPr>
                <w:rFonts w:eastAsiaTheme="majorEastAsia"/>
                <w:b/>
                <w:sz w:val="24"/>
                <w:lang w:val="vi-VN" w:eastAsia="ja-JP"/>
              </w:rPr>
              <w:t>2018</w:t>
            </w:r>
          </w:p>
        </w:tc>
        <w:tc>
          <w:tcPr>
            <w:tcW w:w="608" w:type="pct"/>
            <w:tcBorders>
              <w:top w:val="single" w:sz="4" w:space="0" w:color="000000"/>
              <w:left w:val="single" w:sz="4" w:space="0" w:color="000000"/>
              <w:bottom w:val="single" w:sz="4" w:space="0" w:color="000000"/>
              <w:right w:val="single" w:sz="4" w:space="0" w:color="000000"/>
            </w:tcBorders>
            <w:vAlign w:val="center"/>
            <w:hideMark/>
          </w:tcPr>
          <w:p w14:paraId="5E7C3855" w14:textId="77777777" w:rsidR="00050BE6" w:rsidRPr="00050BE6" w:rsidRDefault="00050BE6" w:rsidP="00750E11">
            <w:pPr>
              <w:tabs>
                <w:tab w:val="center" w:pos="449"/>
              </w:tabs>
              <w:snapToGrid w:val="0"/>
              <w:spacing w:before="100" w:beforeAutospacing="1" w:after="100" w:afterAutospacing="1"/>
              <w:ind w:firstLine="0"/>
              <w:jc w:val="center"/>
              <w:rPr>
                <w:rFonts w:eastAsiaTheme="majorEastAsia"/>
                <w:b/>
                <w:sz w:val="24"/>
                <w:lang w:val="vi-VN" w:eastAsia="ja-JP"/>
              </w:rPr>
            </w:pPr>
            <w:r w:rsidRPr="00050BE6">
              <w:rPr>
                <w:rFonts w:eastAsiaTheme="majorEastAsia"/>
                <w:b/>
                <w:sz w:val="24"/>
                <w:lang w:val="vi-VN" w:eastAsia="ja-JP"/>
              </w:rPr>
              <w:t>2019</w:t>
            </w:r>
          </w:p>
        </w:tc>
      </w:tr>
      <w:tr w:rsidR="00050BE6" w:rsidRPr="00050BE6" w14:paraId="140F5C22" w14:textId="77777777" w:rsidTr="009957D2">
        <w:trPr>
          <w:trHeight w:val="434"/>
          <w:jc w:val="center"/>
        </w:trPr>
        <w:tc>
          <w:tcPr>
            <w:tcW w:w="3175" w:type="pct"/>
            <w:tcBorders>
              <w:top w:val="single" w:sz="4" w:space="0" w:color="000000"/>
              <w:left w:val="single" w:sz="4" w:space="0" w:color="000000"/>
              <w:bottom w:val="single" w:sz="4" w:space="0" w:color="000000"/>
              <w:right w:val="nil"/>
            </w:tcBorders>
            <w:vAlign w:val="center"/>
            <w:hideMark/>
          </w:tcPr>
          <w:p w14:paraId="6D7250AF" w14:textId="77777777" w:rsidR="00050BE6" w:rsidRPr="00050BE6" w:rsidRDefault="00050BE6" w:rsidP="00750E11">
            <w:pPr>
              <w:spacing w:line="288" w:lineRule="auto"/>
              <w:ind w:firstLine="0"/>
              <w:rPr>
                <w:rFonts w:eastAsiaTheme="majorEastAsia"/>
                <w:sz w:val="24"/>
                <w:lang w:val="vi-VN" w:eastAsia="ja-JP"/>
              </w:rPr>
            </w:pPr>
            <w:r w:rsidRPr="00050BE6">
              <w:rPr>
                <w:rFonts w:eastAsiaTheme="majorEastAsia"/>
                <w:sz w:val="24"/>
                <w:lang w:val="vi-VN" w:eastAsia="ja-JP"/>
              </w:rPr>
              <w:t>Tổng số vốn đầu tư nước ngoài trong lĩnh vực công nghiệp CNTT - điện tử, viễn thông</w:t>
            </w:r>
          </w:p>
        </w:tc>
        <w:tc>
          <w:tcPr>
            <w:tcW w:w="609" w:type="pct"/>
            <w:tcBorders>
              <w:top w:val="single" w:sz="4" w:space="0" w:color="000000"/>
              <w:left w:val="single" w:sz="4" w:space="0" w:color="000000"/>
              <w:bottom w:val="single" w:sz="4" w:space="0" w:color="000000"/>
              <w:right w:val="nil"/>
            </w:tcBorders>
            <w:vAlign w:val="center"/>
            <w:hideMark/>
          </w:tcPr>
          <w:p w14:paraId="558E4308" w14:textId="77777777" w:rsidR="00050BE6" w:rsidRPr="00050BE6" w:rsidRDefault="00050BE6" w:rsidP="00750E11">
            <w:pPr>
              <w:spacing w:line="288" w:lineRule="auto"/>
              <w:ind w:firstLine="0"/>
              <w:jc w:val="center"/>
              <w:rPr>
                <w:rFonts w:eastAsiaTheme="majorEastAsia"/>
                <w:sz w:val="24"/>
                <w:lang w:val="vi-VN" w:eastAsia="ja-JP"/>
              </w:rPr>
            </w:pPr>
            <w:r w:rsidRPr="00050BE6">
              <w:rPr>
                <w:rFonts w:eastAsiaTheme="majorEastAsia"/>
                <w:sz w:val="24"/>
                <w:lang w:val="vi-VN" w:eastAsia="ja-JP"/>
              </w:rPr>
              <w:t>Triệu USD</w:t>
            </w:r>
          </w:p>
        </w:tc>
        <w:tc>
          <w:tcPr>
            <w:tcW w:w="608" w:type="pct"/>
            <w:tcBorders>
              <w:top w:val="single" w:sz="4" w:space="0" w:color="000000"/>
              <w:left w:val="single" w:sz="4" w:space="0" w:color="000000"/>
              <w:bottom w:val="single" w:sz="4" w:space="0" w:color="000000"/>
              <w:right w:val="single" w:sz="4" w:space="0" w:color="000000"/>
            </w:tcBorders>
            <w:vAlign w:val="center"/>
            <w:hideMark/>
          </w:tcPr>
          <w:p w14:paraId="4DAE74AE" w14:textId="77777777" w:rsidR="00050BE6" w:rsidRPr="00050BE6" w:rsidRDefault="00050BE6" w:rsidP="00750E11">
            <w:pPr>
              <w:spacing w:line="288" w:lineRule="auto"/>
              <w:ind w:firstLine="0"/>
              <w:jc w:val="right"/>
              <w:rPr>
                <w:rFonts w:eastAsiaTheme="majorEastAsia"/>
                <w:sz w:val="24"/>
                <w:lang w:val="vi-VN" w:eastAsia="ja-JP"/>
              </w:rPr>
            </w:pPr>
            <w:r w:rsidRPr="00050BE6">
              <w:rPr>
                <w:rFonts w:eastAsiaTheme="majorEastAsia"/>
                <w:sz w:val="24"/>
                <w:lang w:val="vi-VN" w:eastAsia="ja-JP"/>
              </w:rPr>
              <w:t>591,77</w:t>
            </w:r>
          </w:p>
        </w:tc>
        <w:tc>
          <w:tcPr>
            <w:tcW w:w="608" w:type="pct"/>
            <w:tcBorders>
              <w:top w:val="single" w:sz="4" w:space="0" w:color="000000"/>
              <w:left w:val="single" w:sz="4" w:space="0" w:color="000000"/>
              <w:bottom w:val="single" w:sz="4" w:space="0" w:color="000000"/>
              <w:right w:val="single" w:sz="4" w:space="0" w:color="000000"/>
            </w:tcBorders>
            <w:vAlign w:val="center"/>
            <w:hideMark/>
          </w:tcPr>
          <w:p w14:paraId="38BF0AD5" w14:textId="77777777" w:rsidR="00050BE6" w:rsidRPr="00050BE6" w:rsidRDefault="00050BE6" w:rsidP="00750E11">
            <w:pPr>
              <w:spacing w:line="288" w:lineRule="auto"/>
              <w:ind w:firstLine="0"/>
              <w:jc w:val="right"/>
              <w:rPr>
                <w:rFonts w:eastAsiaTheme="majorEastAsia"/>
                <w:sz w:val="24"/>
                <w:lang w:val="vi-VN" w:eastAsia="ja-JP"/>
              </w:rPr>
            </w:pPr>
            <w:r w:rsidRPr="00050BE6">
              <w:rPr>
                <w:rFonts w:eastAsiaTheme="majorEastAsia"/>
                <w:sz w:val="24"/>
                <w:lang w:val="vi-VN" w:eastAsia="ja-JP"/>
              </w:rPr>
              <w:t xml:space="preserve">3.566,25 </w:t>
            </w:r>
          </w:p>
        </w:tc>
      </w:tr>
      <w:tr w:rsidR="00050BE6" w:rsidRPr="00050BE6" w14:paraId="445CF5B2" w14:textId="77777777" w:rsidTr="009957D2">
        <w:trPr>
          <w:trHeight w:val="434"/>
          <w:jc w:val="center"/>
        </w:trPr>
        <w:tc>
          <w:tcPr>
            <w:tcW w:w="3175" w:type="pct"/>
            <w:tcBorders>
              <w:top w:val="single" w:sz="4" w:space="0" w:color="000000"/>
              <w:left w:val="single" w:sz="4" w:space="0" w:color="000000"/>
              <w:bottom w:val="single" w:sz="4" w:space="0" w:color="000000"/>
              <w:right w:val="nil"/>
            </w:tcBorders>
            <w:vAlign w:val="center"/>
            <w:hideMark/>
          </w:tcPr>
          <w:p w14:paraId="2C4E3428" w14:textId="77777777" w:rsidR="00050BE6" w:rsidRPr="00050BE6" w:rsidRDefault="00050BE6" w:rsidP="00750E11">
            <w:pPr>
              <w:spacing w:line="288" w:lineRule="auto"/>
              <w:ind w:firstLine="0"/>
              <w:rPr>
                <w:rFonts w:eastAsiaTheme="majorEastAsia"/>
                <w:sz w:val="24"/>
                <w:lang w:val="vi-VN" w:eastAsia="ja-JP"/>
              </w:rPr>
            </w:pPr>
            <w:r w:rsidRPr="00050BE6">
              <w:rPr>
                <w:rFonts w:eastAsiaTheme="majorEastAsia"/>
                <w:sz w:val="24"/>
                <w:lang w:val="vi-VN" w:eastAsia="ja-JP"/>
              </w:rPr>
              <w:t>Tổng số dự án đầu tư nước ngoài trong lĩnh vực công nghiệp CNTT - điện tử, viễn thông</w:t>
            </w:r>
          </w:p>
        </w:tc>
        <w:tc>
          <w:tcPr>
            <w:tcW w:w="609" w:type="pct"/>
            <w:tcBorders>
              <w:top w:val="single" w:sz="4" w:space="0" w:color="000000"/>
              <w:left w:val="single" w:sz="4" w:space="0" w:color="000000"/>
              <w:bottom w:val="single" w:sz="4" w:space="0" w:color="000000"/>
              <w:right w:val="nil"/>
            </w:tcBorders>
            <w:vAlign w:val="center"/>
            <w:hideMark/>
          </w:tcPr>
          <w:p w14:paraId="4F33B806" w14:textId="77777777" w:rsidR="00050BE6" w:rsidRPr="00050BE6" w:rsidRDefault="00050BE6" w:rsidP="00750E11">
            <w:pPr>
              <w:spacing w:line="288" w:lineRule="auto"/>
              <w:ind w:firstLine="0"/>
              <w:jc w:val="center"/>
              <w:rPr>
                <w:rFonts w:eastAsiaTheme="majorEastAsia"/>
                <w:sz w:val="24"/>
                <w:lang w:val="vi-VN" w:eastAsia="ja-JP"/>
              </w:rPr>
            </w:pPr>
            <w:r w:rsidRPr="00050BE6">
              <w:rPr>
                <w:rFonts w:eastAsiaTheme="majorEastAsia"/>
                <w:sz w:val="24"/>
                <w:lang w:val="vi-VN" w:eastAsia="ja-JP"/>
              </w:rPr>
              <w:t>Dự án</w:t>
            </w:r>
          </w:p>
        </w:tc>
        <w:tc>
          <w:tcPr>
            <w:tcW w:w="608" w:type="pct"/>
            <w:tcBorders>
              <w:top w:val="single" w:sz="4" w:space="0" w:color="000000"/>
              <w:left w:val="single" w:sz="4" w:space="0" w:color="000000"/>
              <w:bottom w:val="single" w:sz="4" w:space="0" w:color="000000"/>
              <w:right w:val="single" w:sz="4" w:space="0" w:color="000000"/>
            </w:tcBorders>
            <w:vAlign w:val="center"/>
            <w:hideMark/>
          </w:tcPr>
          <w:p w14:paraId="0E27A1B0" w14:textId="77777777" w:rsidR="00050BE6" w:rsidRPr="00050BE6" w:rsidRDefault="00050BE6" w:rsidP="00750E11">
            <w:pPr>
              <w:spacing w:line="288" w:lineRule="auto"/>
              <w:ind w:firstLine="0"/>
              <w:jc w:val="right"/>
              <w:rPr>
                <w:rFonts w:eastAsiaTheme="majorEastAsia"/>
                <w:sz w:val="24"/>
                <w:lang w:val="vi-VN" w:eastAsia="ja-JP"/>
              </w:rPr>
            </w:pPr>
            <w:r w:rsidRPr="00050BE6">
              <w:rPr>
                <w:rFonts w:eastAsiaTheme="majorEastAsia"/>
                <w:sz w:val="24"/>
                <w:lang w:val="vi-VN" w:eastAsia="ja-JP"/>
              </w:rPr>
              <w:t>248</w:t>
            </w:r>
          </w:p>
        </w:tc>
        <w:tc>
          <w:tcPr>
            <w:tcW w:w="608" w:type="pct"/>
            <w:tcBorders>
              <w:top w:val="single" w:sz="4" w:space="0" w:color="000000"/>
              <w:left w:val="single" w:sz="4" w:space="0" w:color="000000"/>
              <w:bottom w:val="single" w:sz="4" w:space="0" w:color="000000"/>
              <w:right w:val="single" w:sz="4" w:space="0" w:color="000000"/>
            </w:tcBorders>
            <w:vAlign w:val="center"/>
            <w:hideMark/>
          </w:tcPr>
          <w:p w14:paraId="217298CF" w14:textId="77777777" w:rsidR="00050BE6" w:rsidRPr="00050BE6" w:rsidRDefault="00050BE6" w:rsidP="00750E11">
            <w:pPr>
              <w:spacing w:line="288" w:lineRule="auto"/>
              <w:ind w:firstLine="0"/>
              <w:jc w:val="right"/>
              <w:rPr>
                <w:rFonts w:eastAsiaTheme="majorEastAsia"/>
                <w:sz w:val="24"/>
                <w:lang w:val="vi-VN" w:eastAsia="ja-JP"/>
              </w:rPr>
            </w:pPr>
            <w:r w:rsidRPr="00050BE6">
              <w:rPr>
                <w:rFonts w:eastAsiaTheme="majorEastAsia"/>
                <w:sz w:val="24"/>
                <w:lang w:val="vi-VN" w:eastAsia="ja-JP"/>
              </w:rPr>
              <w:t xml:space="preserve">        568 </w:t>
            </w:r>
          </w:p>
        </w:tc>
      </w:tr>
      <w:tr w:rsidR="00050BE6" w:rsidRPr="00050BE6" w14:paraId="5D8233C4" w14:textId="77777777" w:rsidTr="009957D2">
        <w:trPr>
          <w:trHeight w:val="434"/>
          <w:jc w:val="center"/>
        </w:trPr>
        <w:tc>
          <w:tcPr>
            <w:tcW w:w="3175" w:type="pct"/>
            <w:tcBorders>
              <w:top w:val="single" w:sz="4" w:space="0" w:color="000000"/>
              <w:left w:val="single" w:sz="4" w:space="0" w:color="000000"/>
              <w:bottom w:val="single" w:sz="4" w:space="0" w:color="000000"/>
              <w:right w:val="nil"/>
            </w:tcBorders>
            <w:vAlign w:val="center"/>
            <w:hideMark/>
          </w:tcPr>
          <w:p w14:paraId="3D4A85DB" w14:textId="77777777" w:rsidR="00050BE6" w:rsidRPr="00050BE6" w:rsidRDefault="00050BE6" w:rsidP="00750E11">
            <w:pPr>
              <w:spacing w:line="288" w:lineRule="auto"/>
              <w:ind w:firstLine="0"/>
              <w:rPr>
                <w:rFonts w:eastAsiaTheme="majorEastAsia"/>
                <w:sz w:val="24"/>
                <w:lang w:val="vi-VN" w:eastAsia="ja-JP"/>
              </w:rPr>
            </w:pPr>
            <w:r w:rsidRPr="00050BE6">
              <w:rPr>
                <w:rFonts w:eastAsiaTheme="majorEastAsia"/>
                <w:sz w:val="24"/>
                <w:lang w:val="vi-VN" w:eastAsia="ja-JP"/>
              </w:rPr>
              <w:t>Tổng số nước đầu tư vào lĩnh vực công nghiệp CNTT - điện tử, viễn thông</w:t>
            </w:r>
          </w:p>
        </w:tc>
        <w:tc>
          <w:tcPr>
            <w:tcW w:w="609" w:type="pct"/>
            <w:tcBorders>
              <w:top w:val="single" w:sz="4" w:space="0" w:color="000000"/>
              <w:left w:val="single" w:sz="4" w:space="0" w:color="000000"/>
              <w:bottom w:val="single" w:sz="4" w:space="0" w:color="000000"/>
              <w:right w:val="nil"/>
            </w:tcBorders>
            <w:vAlign w:val="center"/>
            <w:hideMark/>
          </w:tcPr>
          <w:p w14:paraId="6EFDF461" w14:textId="77777777" w:rsidR="00050BE6" w:rsidRPr="00050BE6" w:rsidRDefault="00050BE6" w:rsidP="00750E11">
            <w:pPr>
              <w:spacing w:line="288" w:lineRule="auto"/>
              <w:ind w:firstLine="0"/>
              <w:jc w:val="center"/>
              <w:rPr>
                <w:rFonts w:eastAsiaTheme="majorEastAsia"/>
                <w:sz w:val="24"/>
                <w:lang w:val="vi-VN" w:eastAsia="ja-JP"/>
              </w:rPr>
            </w:pPr>
            <w:r w:rsidRPr="00050BE6">
              <w:rPr>
                <w:rFonts w:eastAsiaTheme="majorEastAsia"/>
                <w:sz w:val="24"/>
                <w:lang w:val="vi-VN" w:eastAsia="ja-JP"/>
              </w:rPr>
              <w:t>Nước</w:t>
            </w:r>
          </w:p>
        </w:tc>
        <w:tc>
          <w:tcPr>
            <w:tcW w:w="608" w:type="pct"/>
            <w:tcBorders>
              <w:top w:val="single" w:sz="4" w:space="0" w:color="000000"/>
              <w:left w:val="single" w:sz="4" w:space="0" w:color="000000"/>
              <w:bottom w:val="single" w:sz="4" w:space="0" w:color="000000"/>
              <w:right w:val="single" w:sz="4" w:space="0" w:color="000000"/>
            </w:tcBorders>
            <w:vAlign w:val="center"/>
            <w:hideMark/>
          </w:tcPr>
          <w:p w14:paraId="1F951491" w14:textId="77777777" w:rsidR="00050BE6" w:rsidRPr="00050BE6" w:rsidRDefault="00050BE6" w:rsidP="00750E11">
            <w:pPr>
              <w:spacing w:line="288" w:lineRule="auto"/>
              <w:ind w:firstLine="0"/>
              <w:jc w:val="right"/>
              <w:rPr>
                <w:rFonts w:eastAsiaTheme="majorEastAsia"/>
                <w:sz w:val="24"/>
                <w:lang w:val="vi-VN" w:eastAsia="ja-JP"/>
              </w:rPr>
            </w:pPr>
            <w:r w:rsidRPr="00050BE6">
              <w:rPr>
                <w:rFonts w:eastAsiaTheme="majorEastAsia"/>
                <w:sz w:val="24"/>
                <w:lang w:val="vi-VN" w:eastAsia="ja-JP"/>
              </w:rPr>
              <w:t>42</w:t>
            </w:r>
          </w:p>
        </w:tc>
        <w:tc>
          <w:tcPr>
            <w:tcW w:w="608" w:type="pct"/>
            <w:tcBorders>
              <w:top w:val="single" w:sz="4" w:space="0" w:color="000000"/>
              <w:left w:val="single" w:sz="4" w:space="0" w:color="000000"/>
              <w:bottom w:val="single" w:sz="4" w:space="0" w:color="000000"/>
              <w:right w:val="single" w:sz="4" w:space="0" w:color="000000"/>
            </w:tcBorders>
            <w:vAlign w:val="center"/>
            <w:hideMark/>
          </w:tcPr>
          <w:p w14:paraId="3542C4BC" w14:textId="77777777" w:rsidR="00050BE6" w:rsidRPr="00050BE6" w:rsidRDefault="00050BE6" w:rsidP="00750E11">
            <w:pPr>
              <w:spacing w:line="288" w:lineRule="auto"/>
              <w:ind w:firstLine="0"/>
              <w:jc w:val="right"/>
              <w:rPr>
                <w:rFonts w:eastAsiaTheme="majorEastAsia"/>
                <w:sz w:val="24"/>
                <w:lang w:val="vi-VN" w:eastAsia="ja-JP"/>
              </w:rPr>
            </w:pPr>
            <w:r w:rsidRPr="00050BE6">
              <w:rPr>
                <w:rFonts w:eastAsiaTheme="majorEastAsia"/>
                <w:sz w:val="24"/>
                <w:lang w:val="vi-VN" w:eastAsia="ja-JP"/>
              </w:rPr>
              <w:t xml:space="preserve">          42 </w:t>
            </w:r>
          </w:p>
        </w:tc>
      </w:tr>
    </w:tbl>
    <w:p w14:paraId="6708CD61" w14:textId="77777777" w:rsidR="00050BE6" w:rsidRPr="00050BE6" w:rsidRDefault="00050BE6" w:rsidP="00050BE6">
      <w:r w:rsidRPr="00050BE6">
        <w:t xml:space="preserve">Nhờ chính sách hấp dẫn, Việt Nam đang là điểm đến của dòng vốn FDI trong ngành công nghiệp điện tử nhờ các lợi thế như: Hệ thống chính trị ổn định, 60% dân số ở độ tuổi lao động (từ 17-60 tuổi), chi phí cho lao động tương đối thấp, vị trí địa lý thuận lợi và nằm trong khu vực có nền kinh tế phát triển nhanh và năng động. Theo số liệu từ Cục Đầu tư nước ngoài (Bộ Kế hoạch và Đầu tư), đến nay, lĩnh vực công nghiệp điện tử Việt Nam đã thu hút hơn 10 tỷ USD vốn FDI với các tên tuổi lớn như Samsung, Foxconn, LG, Panasonic, Intel, Electronics, Nokia,… Một số doanh nghiệp mạng xã hội, kinh doanh xuyên biên giới như Facebook, Google cũng đang nghiên cứu về việc mở đại diện tại Việt Nam. </w:t>
      </w:r>
    </w:p>
    <w:p w14:paraId="57BBE0A6" w14:textId="7B7EAE68" w:rsidR="00050BE6" w:rsidRPr="00843A61" w:rsidRDefault="00677953" w:rsidP="00750E11">
      <w:pPr>
        <w:pStyle w:val="Heading2"/>
      </w:pPr>
      <w:bookmarkStart w:id="17" w:name="_Toc74064561"/>
      <w:bookmarkStart w:id="18" w:name="_Toc75262597"/>
      <w:r w:rsidRPr="00843A61">
        <w:t>II</w:t>
      </w:r>
      <w:r w:rsidR="00050BE6" w:rsidRPr="00843A61">
        <w:t xml:space="preserve">.6. Về hợp tác quốc tế </w:t>
      </w:r>
      <w:bookmarkEnd w:id="17"/>
      <w:r w:rsidR="00BE1F7B">
        <w:t xml:space="preserve">để </w:t>
      </w:r>
      <w:r w:rsidR="00050BE6" w:rsidRPr="00843A61">
        <w:t xml:space="preserve">phát triển </w:t>
      </w:r>
      <w:bookmarkEnd w:id="18"/>
      <w:r w:rsidR="00535487">
        <w:t>CNTT</w:t>
      </w:r>
    </w:p>
    <w:p w14:paraId="5DA6150C" w14:textId="45F5D50D" w:rsidR="00050BE6" w:rsidRPr="00050BE6" w:rsidRDefault="00050BE6" w:rsidP="00050BE6">
      <w:r w:rsidRPr="00050BE6">
        <w:t xml:space="preserve">Nhiều hoạt động hợp tác song phương với nhiều nước thông qua các hình thức hợp tác như trao đổi đoàn các cấp, hội thảo, đào tạo và ký kết các thoả thuận song phương. Tiêu biểu có thể kể hợp tác song phương với Hàn Quốc, Nhật Bản, Hoa Kỳ, Ấn Độ về xây dựng chính sách, công tác đảm bảo an toàn thông tin, đào tạo, nâng cao năng lực </w:t>
      </w:r>
      <w:r w:rsidR="00535487">
        <w:t>CNTT</w:t>
      </w:r>
      <w:r w:rsidRPr="00050BE6">
        <w:t>, đầu tư sản xuất, kinh doanh,…</w:t>
      </w:r>
    </w:p>
    <w:p w14:paraId="478257E8" w14:textId="77B6CE80" w:rsidR="00050BE6" w:rsidRPr="00050BE6" w:rsidRDefault="00050BE6" w:rsidP="00050BE6">
      <w:r w:rsidRPr="00050BE6">
        <w:t xml:space="preserve">Các doanh nghiệp Việt Nam được tạo điều kiện tiếp cận thị trường nước ngoài, từng bước xây dựng thương hiệu </w:t>
      </w:r>
      <w:r w:rsidR="00535487">
        <w:t>CNTT</w:t>
      </w:r>
      <w:r w:rsidRPr="00050BE6">
        <w:t xml:space="preserve"> Việt Nam trên trường quốc tế cũng như tăng cường năng lực cạnh tranh. Từ chỗ bị phụ thuộc hoàn toàn vào công nghệ của nước ngoài, đến nay các doanh nghiệp </w:t>
      </w:r>
      <w:r w:rsidR="00535487">
        <w:t>CNTT</w:t>
      </w:r>
      <w:r w:rsidRPr="00050BE6">
        <w:t xml:space="preserve"> hàng đầu của Việt Nam đặc biệt là trong lĩnh vực gia công phần mềm đã không chỉ đáp ứng được nhu cầu trong nước mà còn vươn tầm ra quốc tế.</w:t>
      </w:r>
    </w:p>
    <w:p w14:paraId="6E73445B" w14:textId="4EA3441C" w:rsidR="00050BE6" w:rsidRPr="00050BE6" w:rsidRDefault="004A7791" w:rsidP="00050BE6">
      <w:r>
        <w:t xml:space="preserve">Ngành </w:t>
      </w:r>
      <w:r w:rsidR="00535487">
        <w:t>CNTT</w:t>
      </w:r>
      <w:r w:rsidR="00050BE6" w:rsidRPr="00050BE6">
        <w:t xml:space="preserve"> Việ</w:t>
      </w:r>
      <w:r>
        <w:t xml:space="preserve">t Nam </w:t>
      </w:r>
      <w:r w:rsidR="00050BE6" w:rsidRPr="00050BE6">
        <w:t xml:space="preserve">đã có sự hội nhập kinh tế quốc tế khá sâu rộng, bắt kịp đà phát triển về công nghệ của thế giới. Luật Công nghệ thông tin đã tạo tiền đề thúc đẩy hoạt động của Việt Nam tại các tổ chức quốc tế về </w:t>
      </w:r>
      <w:r w:rsidR="00535487">
        <w:t>CNTT</w:t>
      </w:r>
      <w:r w:rsidR="00050BE6" w:rsidRPr="00050BE6">
        <w:t xml:space="preserve">, các tổ chức đa phương chuyên ngành và các cơ chế hợp tác đa phương khác như ITU, ICANN, APEC, APT,... đồng thời Luật tạo sự đồng bộ với các quy định </w:t>
      </w:r>
      <w:r w:rsidR="00050BE6" w:rsidRPr="00050BE6">
        <w:lastRenderedPageBreak/>
        <w:t>trong các đạo luật có liên quan và khuôn khổ pháp lý phù hợp, đáp ứng yêu cầu hội nhập, thực hiện các cam kết quốc tế với ASEAN, APEC, WTO,…</w:t>
      </w:r>
    </w:p>
    <w:p w14:paraId="077C1F9E" w14:textId="77777777" w:rsidR="004C3982" w:rsidRDefault="004C3982" w:rsidP="00750E11">
      <w:pPr>
        <w:pStyle w:val="Heading1"/>
      </w:pPr>
      <w:bookmarkStart w:id="19" w:name="_Toc75262598"/>
    </w:p>
    <w:p w14:paraId="79F74322" w14:textId="77777777" w:rsidR="004C3982" w:rsidRDefault="004C3982" w:rsidP="00750E11">
      <w:pPr>
        <w:pStyle w:val="Heading1"/>
      </w:pPr>
      <w:r>
        <w:t xml:space="preserve">phần </w:t>
      </w:r>
      <w:r w:rsidR="00677953" w:rsidRPr="00843A61">
        <w:t>III</w:t>
      </w:r>
    </w:p>
    <w:p w14:paraId="57125889" w14:textId="7EA98AE0" w:rsidR="00050BE6" w:rsidRDefault="00BE1F7B" w:rsidP="00750E11">
      <w:pPr>
        <w:pStyle w:val="Heading1"/>
      </w:pPr>
      <w:r>
        <w:t>Những bất cập, khó khăn trong áp dụng Luật về phát triển</w:t>
      </w:r>
      <w:r w:rsidR="00050BE6" w:rsidRPr="00843A61">
        <w:t xml:space="preserve"> </w:t>
      </w:r>
      <w:bookmarkEnd w:id="19"/>
      <w:r w:rsidR="00535487">
        <w:t>CNTT</w:t>
      </w:r>
      <w:r w:rsidR="003C1164">
        <w:t>, công nghiệp CNTT</w:t>
      </w:r>
    </w:p>
    <w:p w14:paraId="3D89F2B8" w14:textId="77777777" w:rsidR="00643335" w:rsidRPr="002936B1" w:rsidRDefault="00643335" w:rsidP="00750E11"/>
    <w:p w14:paraId="75DB54CF" w14:textId="35B903C2" w:rsidR="00050BE6" w:rsidRPr="00750E11" w:rsidRDefault="00050BE6">
      <w:pPr>
        <w:rPr>
          <w:color w:val="000000" w:themeColor="text1"/>
        </w:rPr>
      </w:pPr>
      <w:r w:rsidRPr="00050BE6">
        <w:t xml:space="preserve">Luật Công nghệ thông tin, Nghị định 71/2007/NĐ-CP và các văn bản hướng dẫn đã hình thành và tạo hành lang pháp lý phát triển ngành công nghiệp </w:t>
      </w:r>
      <w:r w:rsidR="00535487">
        <w:t>CNTT</w:t>
      </w:r>
      <w:r w:rsidRPr="00050BE6">
        <w:t xml:space="preserve"> Việt Nam. Tuy nhiên, bên cạnh những thành tựu đạt được, kết quả phát triển ngành công nghiệp </w:t>
      </w:r>
      <w:r w:rsidR="00535487">
        <w:t>CNTT</w:t>
      </w:r>
      <w:r w:rsidRPr="00050BE6">
        <w:t xml:space="preserve"> Việt Nam còn chưa đạt như kỳ vọng do một số tồn tại bất cập trong hệ thống pháp luật về công nghiệp </w:t>
      </w:r>
      <w:r w:rsidR="00535487">
        <w:t>CNTT</w:t>
      </w:r>
      <w:r w:rsidRPr="00050BE6">
        <w:t xml:space="preserve"> hiện nay</w:t>
      </w:r>
      <w:r w:rsidR="0036259F">
        <w:t xml:space="preserve">, </w:t>
      </w:r>
      <w:r w:rsidR="0036259F" w:rsidRPr="00750E11">
        <w:rPr>
          <w:color w:val="000000" w:themeColor="text1"/>
        </w:rPr>
        <w:t>trong đó</w:t>
      </w:r>
      <w:r w:rsidRPr="00750E11">
        <w:rPr>
          <w:color w:val="000000" w:themeColor="text1"/>
        </w:rPr>
        <w:t xml:space="preserve"> một số bất cập chính </w:t>
      </w:r>
      <w:r w:rsidR="0036259F" w:rsidRPr="00750E11">
        <w:rPr>
          <w:color w:val="000000" w:themeColor="text1"/>
        </w:rPr>
        <w:t>là</w:t>
      </w:r>
      <w:r w:rsidRPr="00750E11">
        <w:rPr>
          <w:color w:val="000000" w:themeColor="text1"/>
        </w:rPr>
        <w:t>:</w:t>
      </w:r>
    </w:p>
    <w:p w14:paraId="7A518F9E" w14:textId="491DFEF6" w:rsidR="00181619" w:rsidRPr="00181619" w:rsidRDefault="00181619" w:rsidP="00750E11">
      <w:pPr>
        <w:pStyle w:val="Heading2"/>
      </w:pPr>
      <w:r>
        <w:t>III.1</w:t>
      </w:r>
      <w:r w:rsidR="00F50125">
        <w:t>.</w:t>
      </w:r>
      <w:r w:rsidRPr="00181619">
        <w:t xml:space="preserve"> </w:t>
      </w:r>
      <w:r w:rsidR="00591E36">
        <w:t xml:space="preserve">Về </w:t>
      </w:r>
      <w:r w:rsidRPr="00181619">
        <w:t xml:space="preserve">Phạm vi điều chỉnh, đối tượng quản lý </w:t>
      </w:r>
    </w:p>
    <w:p w14:paraId="0158C8FC" w14:textId="5DA25362" w:rsidR="00591E36" w:rsidRPr="00591E36" w:rsidRDefault="00591E36" w:rsidP="00750E11">
      <w:pPr>
        <w:rPr>
          <w:lang w:val="pt-BR"/>
        </w:rPr>
      </w:pPr>
      <w:r w:rsidRPr="00591E36">
        <w:rPr>
          <w:lang w:val="pt-BR"/>
        </w:rPr>
        <w:t>Công tác quản lý và thúc đẩy hoạt động công nghiệp CNTT thờ</w:t>
      </w:r>
      <w:r w:rsidR="00054120">
        <w:rPr>
          <w:lang w:val="pt-BR"/>
        </w:rPr>
        <w:t>i gian qua</w:t>
      </w:r>
      <w:r w:rsidRPr="00591E36">
        <w:rPr>
          <w:lang w:val="pt-BR"/>
        </w:rPr>
        <w:t xml:space="preserve"> đã bộc lộ một số vướng mắc do việc thiếu đồng bộ trong khái niệm, phân loại các loại hình công nghiệp CNTT, đặc biệt là sự xuất hiện của công nghệ số chưa được định nghĩa trong hệ thống văn bản QPPL nên khó khăn trong việc áp dụng chế tài và cơ chế, chính sách thúc đẩy phát triển. Cụ thể là:</w:t>
      </w:r>
    </w:p>
    <w:p w14:paraId="46232AC9" w14:textId="546802A0" w:rsidR="00591E36" w:rsidRPr="00591E36" w:rsidRDefault="00591E36" w:rsidP="00750E11">
      <w:pPr>
        <w:rPr>
          <w:bCs/>
          <w:i/>
        </w:rPr>
      </w:pPr>
      <w:r w:rsidRPr="00591E36">
        <w:rPr>
          <w:bCs/>
          <w:i/>
        </w:rPr>
        <w:t>(1) Phân loại các loại hình công nghiệp CNTT đã bộc lộ một số vướng mắc, thiếu đồng bộ trong hệ thống các văn bả</w:t>
      </w:r>
      <w:r w:rsidR="00054120">
        <w:rPr>
          <w:bCs/>
          <w:i/>
        </w:rPr>
        <w:t>n QPPL</w:t>
      </w:r>
    </w:p>
    <w:p w14:paraId="4E2D468C" w14:textId="7572852B" w:rsidR="00591E36" w:rsidRPr="00591E36" w:rsidRDefault="00591E36" w:rsidP="00750E11">
      <w:pPr>
        <w:rPr>
          <w:bCs/>
        </w:rPr>
      </w:pPr>
      <w:r w:rsidRPr="00591E36">
        <w:rPr>
          <w:bCs/>
        </w:rPr>
        <w:t>- Thiếu đồng bộ giữa cách phân loại các loại hình hoạt động công nghiệp CNTT trong hệ thống pháp luật chuyên ngành với các quy định mã ngành Kinh tế Việt Nam, dẫn đến thống kê không đ</w:t>
      </w:r>
      <w:r w:rsidR="00054120">
        <w:rPr>
          <w:bCs/>
        </w:rPr>
        <w:t>ầ</w:t>
      </w:r>
      <w:r w:rsidRPr="00591E36">
        <w:rPr>
          <w:bCs/>
        </w:rPr>
        <w:t>y đủ, chưa phản ánh đúng sự phát triển của ngành. Ngành công nghiệp CNTT chưa được coi là một ngành kinh tế trong Hệ thống ngành kinh tế Việt Nam theo Quyết định 27/2018/QĐ-TTg ngày 06/7/2018 của Thủ tướng Chính phủ về ban hành Quyết định Hệ thống ngành kinh tế Việt Nam. Do vậy, các hoạt động công nghiệp CNTT được phân chia rải rác vào 3 ngành gồm: Công nghiệp chế biến, chế tạo; bán buôn và bán lẻ; thông tin và truyền thông. Cách phân loại trong Hệ thống ngành Kinh tế vừa thừa, vừa thiếu so với phân loại trong pháp luật về công nghiệp CNTT.</w:t>
      </w:r>
    </w:p>
    <w:p w14:paraId="39F852E2" w14:textId="77777777" w:rsidR="00591E36" w:rsidRPr="00591E36" w:rsidRDefault="00591E36" w:rsidP="00750E11">
      <w:pPr>
        <w:rPr>
          <w:bCs/>
        </w:rPr>
      </w:pPr>
      <w:r w:rsidRPr="00591E36">
        <w:rPr>
          <w:bCs/>
        </w:rPr>
        <w:t xml:space="preserve">- Quy định hoạt động công nghiệp CNTT trong Luật CNTT chưa thống nhất cách hiểu với quốc tế. Chẳng hạn, trong Bảng phân loại các ngành dịch vụ trong WTO thì hoạt động công nghiệp CNTT được hiểu là “Dịch vụ máy tính và các dịch vụ liên quan” (có các mã là CPC 841-845, CPC 849) bao gồm: Mã 841 về Dịch vụ tư vấn liên quan tới lắp đặt phần cứng máy tính, mã 842 về Dịch vụ thực hiện phần mềm; mã 843 về Dịch vụ xử lý dữ liệu; mã 844 về Dịch vụ cơ sở dữ liệu; mã 845 về Dịch vụ duy tu và bảo dưỡng máy móc và thiết bị văn phòng, </w:t>
      </w:r>
      <w:r w:rsidRPr="00591E36">
        <w:rPr>
          <w:bCs/>
        </w:rPr>
        <w:lastRenderedPageBreak/>
        <w:t>bao gồm cả máy tính; mã 849 về Các dịch vụ máy tính khác. Cách phân loại này khác biệt nhiều so với phân loại các loại hình công nghiệp CNTT trong pháp luật về công nghiệp CNTT của Việt Nam nên dẫn đến cách hiểu và áp dụng chính sách khác nhau.</w:t>
      </w:r>
    </w:p>
    <w:p w14:paraId="069082C5" w14:textId="77777777" w:rsidR="00591E36" w:rsidRPr="00591E36" w:rsidRDefault="00591E36" w:rsidP="00750E11">
      <w:pPr>
        <w:rPr>
          <w:bCs/>
          <w:i/>
        </w:rPr>
      </w:pPr>
      <w:r w:rsidRPr="00591E36">
        <w:rPr>
          <w:bCs/>
          <w:i/>
        </w:rPr>
        <w:t>(2) Hoạt động công nghiệp phần mềm gặp một số vướng mắc trong áp dụng pháp luật do khái niệm và phạm vi các hoạt động công nghiệp phần mềm chưa phù hợp, chưa theo kịp xu thế phát triển</w:t>
      </w:r>
    </w:p>
    <w:p w14:paraId="70F56ACC" w14:textId="0DEA062B" w:rsidR="00591E36" w:rsidRPr="00591E36" w:rsidRDefault="00591E36" w:rsidP="00750E11">
      <w:pPr>
        <w:rPr>
          <w:bCs/>
        </w:rPr>
      </w:pPr>
      <w:r w:rsidRPr="00591E36">
        <w:rPr>
          <w:bCs/>
        </w:rPr>
        <w:t>- Có sự chồng lấn, khó phân định rạch ròi giữa sản xuất, cung cấp dịch vụ và gia công phần mềm.</w:t>
      </w:r>
      <w:r w:rsidRPr="00591E36">
        <w:rPr>
          <w:bCs/>
          <w:i/>
        </w:rPr>
        <w:t xml:space="preserve"> </w:t>
      </w:r>
      <w:r w:rsidRPr="00591E36">
        <w:rPr>
          <w:bCs/>
        </w:rPr>
        <w:t>Theo quy định về sản xuất phần mềm, dịch vụ phần mềm và gia công phần mềm tại Luật CNTT và Nghị định 71/2007/NĐ-CP hướng dẫn Luật</w:t>
      </w:r>
      <w:r w:rsidRPr="00591E36">
        <w:rPr>
          <w:rStyle w:val="FootnoteReference"/>
          <w:bCs/>
          <w:i/>
        </w:rPr>
        <w:footnoteReference w:id="4"/>
      </w:r>
      <w:r w:rsidRPr="00591E36">
        <w:rPr>
          <w:bCs/>
        </w:rPr>
        <w:t xml:space="preserve">: hoạt động sản xuất phần mềm bao gồm cả cài đặt, hướng dẫn sử dụng, bảo trì giống như hoạt động dịch vụ phần mềm; doanh nghiệp chỉ thực hiện </w:t>
      </w:r>
      <w:r w:rsidR="00054120">
        <w:rPr>
          <w:bCs/>
        </w:rPr>
        <w:t xml:space="preserve">một hoặc </w:t>
      </w:r>
      <w:r w:rsidRPr="00591E36">
        <w:rPr>
          <w:bCs/>
        </w:rPr>
        <w:t>vài công đoạn trong quy trình sản xuất phần mềm vừa có thể coi là gia công phần mềm nhưng vẫn có thể coi là sản xuất phần mềm. Việc không phân định được các hoạt động này ảnh hưởng đến việc áp dụng chế tài và thực thi chính sách ưu đãi trong hoạt động công nghiệp phần mềm. Luật CNTT cũng chưa có quy định để cơ quan quản lý chuyên ngành thực hiện xác nhận các hoạt động công nghiệp phần mềm để hỗ trợ cho doanh nghiệp.</w:t>
      </w:r>
    </w:p>
    <w:p w14:paraId="120F0CE6" w14:textId="77777777" w:rsidR="00591E36" w:rsidRPr="00591E36" w:rsidRDefault="00591E36" w:rsidP="00750E11">
      <w:pPr>
        <w:rPr>
          <w:bCs/>
        </w:rPr>
      </w:pPr>
      <w:r w:rsidRPr="00591E36">
        <w:rPr>
          <w:bCs/>
        </w:rPr>
        <w:t>- Khái niệm hoạt động công nghiệp phần mềm chưa theo kịp xu thế phát triển mới. Công đoạn sáng tạo, đưa ra ý tưởng là bước xác định bài toán cần giải trước khi thiết kế phần mềm chưa được đề cập trong định nghĩa hoạt động công nghiệp phần mềm mà đây lại là bước rất quan trọng trong xu thế phát triển mới của công nghệ số. Bước sáng tạo, đưa ra ý tưởng cũng là một yếu tố quan trọng để xác định sản phẩm phần mềm là Make in Viet Nam - sáng tạo, thiết kế, thử nghiệm, sản xuất tại Việt Nam - hay không.</w:t>
      </w:r>
    </w:p>
    <w:p w14:paraId="666E7F89" w14:textId="77777777" w:rsidR="00591E36" w:rsidRPr="00591E36" w:rsidRDefault="00591E36" w:rsidP="00750E11">
      <w:pPr>
        <w:rPr>
          <w:bCs/>
        </w:rPr>
      </w:pPr>
      <w:r w:rsidRPr="00591E36">
        <w:rPr>
          <w:bCs/>
        </w:rPr>
        <w:t xml:space="preserve">- Quy định về sản phẩm, dịch vụ phần mềm trong Luật và văn bản hướng dẫn chưa bao quát hết các sản phẩm, dịch vụ phần mềm trong thực tiễn nên việc xác định đối tượng để áp dụng chế tài, chính sách ưu đãi gặp khó khăn. Chẳng </w:t>
      </w:r>
      <w:r w:rsidRPr="00591E36">
        <w:rPr>
          <w:bCs/>
        </w:rPr>
        <w:lastRenderedPageBreak/>
        <w:t>hạn: Khoản 21 Điều 4 Thông tư số 219/2013/TT-BTC ngày 31/12/2013 của Bộ Tài chính hướng dẫn Luật Thuế GTGT: “Phần mềm máy tính bao gồm sản phẩm phần mềm và dịch vụ phần mềm theo quy định của pháp luật” thuộc đối tượng không chịu thuế GTGT. Khoản 1, khoản 10 Điều 3 Nghị định số 71/2007/NĐ-CP ngày 03/5/2007 giải thích thuật ngữ “sản phẩm phần mềm; dịch vụ phần mềm”; khoản 2, khoản 3 Điều 9 Nghị định số 71/2007/NĐ-CP ngày 03/5/2007 liệt kê các loại sản phẩm phần mềm và dịch vụ phần mềm, trong đó có đề cập “các phần mềm khác; các dịch vụ phần mềm khác”. Trong thực tế hoạt động, doanh nghiệp thực hiện mua/thuê bản quyền phần mềm của nước ngoài về để bán, cho thuê lại … Tuy nhiên, theo cách quy định tại Điều 3 và Điều 9 Nghị định số 71/2007/NĐ-CP như trên, thì chưa có cơ sở rõ ràng để doanh nghiệp xác định các sản phẩm, dịch vụ phần mềm mua/thuê như đã nêu thuộc nhóm sản phẩm, dịch vụ phần mềm không áp dụng thuế GTGT. Do đó, để cơ sở cho các doanh nghiệp xác định đối tượng chịu thuế GTGT và đối tượng không chịu thuế GTGT, cần hoàn chỉnh phân loại sản phẩm phần mềm và dịch vụ phần mềm.</w:t>
      </w:r>
    </w:p>
    <w:p w14:paraId="381F9C83" w14:textId="5D69A939" w:rsidR="00591E36" w:rsidRPr="00591E36" w:rsidRDefault="00054120" w:rsidP="00750E11">
      <w:pPr>
        <w:rPr>
          <w:bCs/>
        </w:rPr>
      </w:pPr>
      <w:r>
        <w:rPr>
          <w:bCs/>
          <w:i/>
        </w:rPr>
        <w:t>(3)</w:t>
      </w:r>
      <w:r w:rsidR="00591E36" w:rsidRPr="00591E36">
        <w:rPr>
          <w:bCs/>
          <w:i/>
        </w:rPr>
        <w:t xml:space="preserve"> Công nghệ số xuất hiện là bước phát triển tiếp theo của CNTT, đặt ra những yêu cầu quản lý mới, nhưng chưa được quy định, định nghĩa trong hệ thống văn bản QPPL nên khó khăn trong việc áp dụng chế tài và cơ chế, chính sách thúc đẩy phát triển</w:t>
      </w:r>
    </w:p>
    <w:p w14:paraId="2FC41D17" w14:textId="77777777" w:rsidR="00591E36" w:rsidRPr="00591E36" w:rsidRDefault="00591E36" w:rsidP="00750E11">
      <w:pPr>
        <w:rPr>
          <w:bCs/>
        </w:rPr>
      </w:pPr>
      <w:r w:rsidRPr="00591E36">
        <w:rPr>
          <w:bCs/>
        </w:rPr>
        <w:t>- Công nghệ số, công nghiệp công nghệ số, doanh nghiệp công nghệ số chưa được quy định trong hệ thống văn bản quy phạm pháp luật hiện hành, do vậy, có những cách hiểu khác nhau, dẫn đến áp dụng pháp luật khác nhau, có thể dẫn đến thất thoát, lãng phí hoặc cản trở sự phát triển của công nghệ số. Vì vậy, cần làm rõ về khái niệm, nội hàm, phạm vi và loại hình của công nghiệp công nghệ số để Chính phủ quy định những cơ chế chính sách thúc đẩy phát triển ngành phù hợp. Từ đó, tạo thuận lợi cho các bộ, cơ quan trung ương và địa phương, các doanh nghiệp trong và ngoài nước trong hoạt động lĩnh vực công nghiệp công nghệ số.</w:t>
      </w:r>
    </w:p>
    <w:p w14:paraId="119CCA7C" w14:textId="72375350" w:rsidR="00591E36" w:rsidRPr="00591E36" w:rsidRDefault="00591E36" w:rsidP="00750E11">
      <w:pPr>
        <w:rPr>
          <w:bCs/>
        </w:rPr>
      </w:pPr>
      <w:r w:rsidRPr="00591E36">
        <w:rPr>
          <w:bCs/>
        </w:rPr>
        <w:t>- Công nghệ số đặt ra yêu cầu phải có những chế tài quản lý mới. Chẳng hạn, việc định giá phần mềm trong xu thế công nghệ số mới cần phải thay đổi phù hợp hơn. Công nghiệp công nghệ số tập trung vào các công nghệ của cách mạng công nghiệp 4.0 như: Trí tuệ nhân tạo</w:t>
      </w:r>
      <w:r w:rsidR="00054120">
        <w:rPr>
          <w:bCs/>
        </w:rPr>
        <w:t>, Internet vạn vật</w:t>
      </w:r>
      <w:r w:rsidRPr="00591E36">
        <w:rPr>
          <w:bCs/>
        </w:rPr>
        <w:t>, Chuỗi khối</w:t>
      </w:r>
      <w:r w:rsidR="00054120">
        <w:rPr>
          <w:bCs/>
        </w:rPr>
        <w:t>,</w:t>
      </w:r>
      <w:r w:rsidRPr="00591E36">
        <w:rPr>
          <w:bCs/>
        </w:rPr>
        <w:t xml:space="preserve">... theo hướng ngày càng tự động hóa nhiều hơn, thông minh hơn, người dùng ngày càng ít phải tương tác với phần mềm hơn. Tuy vậy, những hướng dẫn về đầu tư ứng dụng CNTT sử dụng vốn NSNN hiện tại đang theo hướng tính toán giá trị phần mềm tỷ lệ thuận với số tương tác của người dùng với phần mềm. Vì vậy phần mềm thông minh, có trải nghiệm người dùng tốt sẽ bị tính giá trị thấp và ngược lại, phần mềm có nhiều thao tác của người dùng sẽ được tính giá trị cao, như vậy sẽ khó khuyến khích được sự phát triển của công nghiệp công nghệ số. Luật CNTT chưa có chế tài cho vấn đề này. </w:t>
      </w:r>
    </w:p>
    <w:p w14:paraId="3E0AD428" w14:textId="2D2D34F7" w:rsidR="00181619" w:rsidRPr="00181619" w:rsidRDefault="00181619" w:rsidP="00750E11">
      <w:pPr>
        <w:pStyle w:val="Heading2"/>
      </w:pPr>
      <w:r>
        <w:lastRenderedPageBreak/>
        <w:t>III.2</w:t>
      </w:r>
      <w:r w:rsidR="00F50125">
        <w:t>.</w:t>
      </w:r>
      <w:r w:rsidRPr="00181619">
        <w:t xml:space="preserve"> </w:t>
      </w:r>
      <w:r w:rsidR="00E803A5">
        <w:t xml:space="preserve">Về </w:t>
      </w:r>
      <w:r w:rsidRPr="00181619">
        <w:t>Thúc đẩy phát triển sản phẩm mới, dịch vụ mới</w:t>
      </w:r>
    </w:p>
    <w:p w14:paraId="5D284ECD" w14:textId="3C7E4546" w:rsidR="00D73C04" w:rsidRPr="00D73C04" w:rsidRDefault="00D73C04" w:rsidP="00750E11">
      <w:pPr>
        <w:rPr>
          <w:lang w:val="pt-BR"/>
        </w:rPr>
      </w:pPr>
      <w:r w:rsidRPr="00D73C04">
        <w:rPr>
          <w:lang w:val="pt-BR"/>
        </w:rPr>
        <w:t>Hành lang pháp luật về công nghiệp CNTT hiện tại đang thiếu các quy định pháp lý cho việc phát triển các công nghệ số mới như trí tuệ nhân tạo, chuỗi khối, internet kết nối vạn vật... Do vậy, việc các doanh nghiệp nghiên cứu, phát triển các sản phẩm, dịch vụ công nghệ số mới gặp nhiều khó khăn do chưa được đặt tên, phân loại, chưa có chế tài để áp dụng, chưa có chính sách để hỗ trợ. Doanh nghiệp không thể đưa ra thị trường các sản phẩm, dịch vụ công nghệ số mới nếu thiếu các quy định pháp lý. Ngay cả việc thử nghiệm các sản phẩm, dịch vụ công nghệ số mới cũng có thể gặp nhiều khó khăn.</w:t>
      </w:r>
    </w:p>
    <w:p w14:paraId="0E210535" w14:textId="77777777" w:rsidR="00D73C04" w:rsidRPr="00D73C04" w:rsidRDefault="00D73C04" w:rsidP="00750E11">
      <w:pPr>
        <w:rPr>
          <w:lang w:val="pt-BR"/>
        </w:rPr>
      </w:pPr>
      <w:r w:rsidRPr="00D73C04">
        <w:rPr>
          <w:lang w:val="pt-BR"/>
        </w:rPr>
        <w:t>Để giải bài toán này, Việt Nam có thể tham khảo kinh nghiệm Hàn Quốc. Trong Đạo luật đặc biệt về thúc đẩy ICT, Hàn Quốc đưa ra các quy định trong đó cho phép triển khai theo hình thức cấp phép tạm thời, miễn trừ tạm thời để thí điểm triển khai các sản phẩm, dịch vụ mới trong trường hợp pháp luật liên quan khác có quy định cấm hoặc có quy định không rõ ràng, không hợp lý để triển khai. Đây có thể coi là biện pháp quản lý linh hoạt, phù hợp nhất đối với công nghệ số mới giúp cho các cơ quan quản lý không bị động, bảo đảm được nguyên tắc quản trị rủi ro phù hợp là cái gì rõ thì ban hành chính sách cụ thể, cái gì chưa rõ thì cho phép thử nghiệm, vừa làm, vừa đánh giá, rút kinh nghiệm và điều chỉnh, không cầu toàn, cũng không nóng vội, linh hoạt và sáng tạo.</w:t>
      </w:r>
    </w:p>
    <w:p w14:paraId="60B82BB7" w14:textId="47615CD1" w:rsidR="00181619" w:rsidRPr="00181619" w:rsidRDefault="00181619" w:rsidP="00750E11">
      <w:pPr>
        <w:pStyle w:val="Heading2"/>
      </w:pPr>
      <w:r>
        <w:t>III.3</w:t>
      </w:r>
      <w:r w:rsidR="00F50125">
        <w:t>.</w:t>
      </w:r>
      <w:r w:rsidRPr="00181619">
        <w:t xml:space="preserve"> </w:t>
      </w:r>
      <w:r w:rsidR="00E803A5">
        <w:t xml:space="preserve">Về </w:t>
      </w:r>
      <w:r w:rsidRPr="00181619">
        <w:t xml:space="preserve">Biện pháp bảo đảm phát triển </w:t>
      </w:r>
      <w:r w:rsidR="00E803A5">
        <w:t>CNTT, công nghiệp CNTT</w:t>
      </w:r>
    </w:p>
    <w:p w14:paraId="2DCB2974" w14:textId="63E0B38A" w:rsidR="00AA14A9" w:rsidRDefault="00AA14A9">
      <w:r w:rsidRPr="00AA14A9">
        <w:t xml:space="preserve">(1) Luật CNTT đưa ra các biện pháp bảo đảm phát triển CNTT như chính sách về nghiên cứu phát triển, phát triển nguồn nhân lực, khu CNTT tập trung, đầu tư cho CNTT, phát triển thị trường... Qua thực tiễn triển khai, </w:t>
      </w:r>
      <w:r w:rsidR="00C20201">
        <w:t>Bộ Thông tin và Truyền thông</w:t>
      </w:r>
      <w:r w:rsidRPr="00AA14A9">
        <w:t xml:space="preserve"> nhận thấy, các biện pháp trong Luật CNTT khá chung chung, chưa cụ thể, nhiều nội dung không còn phù hợp với thực tế phát triển. Cụ thể như:</w:t>
      </w:r>
    </w:p>
    <w:p w14:paraId="70912B4B" w14:textId="3318BBA6" w:rsidR="00B613BE" w:rsidRPr="00B613BE" w:rsidRDefault="00B613BE">
      <w:r>
        <w:t xml:space="preserve">- </w:t>
      </w:r>
      <w:r w:rsidR="00181619" w:rsidRPr="00B613BE">
        <w:t>Chính sách ưu đãi, đầu tư (tại Điều 48 của Luật CNTT) chưa cụ thể ở mức nào của chính sách đầu tư, chưa thể hiện định hướng trọng tâm ưu tiên phát triển.</w:t>
      </w:r>
      <w:r w:rsidRPr="00B613BE">
        <w:t xml:space="preserve"> Các quy định sử dụng NSNN cho sự nghiệp phát triển CNTT còn thiếu cho mảng công nghiệp </w:t>
      </w:r>
      <w:r w:rsidR="00535487">
        <w:t>CNTT</w:t>
      </w:r>
      <w:r w:rsidRPr="00B613BE">
        <w:t xml:space="preserve">. </w:t>
      </w:r>
    </w:p>
    <w:p w14:paraId="0C36DD47" w14:textId="77777777" w:rsidR="00181619" w:rsidRPr="00181619" w:rsidRDefault="00181619">
      <w:r w:rsidRPr="00181619">
        <w:t xml:space="preserve">- Chính sách phát triển nhân lực CNTT (từ Điều 42 đến Điều 46 Luật CNTT) có nhiều khá chung chung, quy định về trách nhiệm giữa các bộ, ngành trong đào tạo và cấp chứng chỉ chưa rõ ràng </w:t>
      </w:r>
      <w:r>
        <w:t>(</w:t>
      </w:r>
      <w:r w:rsidRPr="00050BE6">
        <w:t xml:space="preserve">Luật công nghệ thông tin quy định thẩm quyền cấp chứng chỉ CNTT là Bộ Thông tin và Truyền thông. Luật Giáo dục quy định: Giám đốc trung tâm giáo dục thường xuyên cấp chứng chỉ giáo dục thường xuyên và Luật Giáo dục nghề nghiệp quy định: Cơ sở hoạt động giáo dục nghề nghiệp cấp bằng, chứng chỉ đào tạo cho người học. Chứng chỉ CNTT cũng thuộc một trong hai hình thức đào tạo trên, tuy nhiên lại có sự khác </w:t>
      </w:r>
      <w:r w:rsidRPr="00050BE6">
        <w:lastRenderedPageBreak/>
        <w:t>nhau về thẩm quyền cấp chứng chỉ</w:t>
      </w:r>
      <w:r w:rsidR="00B613BE">
        <w:t>)</w:t>
      </w:r>
      <w:r w:rsidRPr="00050BE6">
        <w:t xml:space="preserve"> gây khó khăn cho công tác quản lý, triển khai.</w:t>
      </w:r>
      <w:r w:rsidR="00B613BE">
        <w:t xml:space="preserve"> Luật CNTT </w:t>
      </w:r>
      <w:r w:rsidRPr="00181619">
        <w:t>thiếu các chính sách để thu hút nhân lực chất lượng cao, chính sách gắn việc đào tạo lý thuyết với thực tiễn.</w:t>
      </w:r>
    </w:p>
    <w:p w14:paraId="2FD3982E" w14:textId="3C9F0F72" w:rsidR="00181619" w:rsidRDefault="00181619">
      <w:r w:rsidRPr="00181619">
        <w:t xml:space="preserve">- Quy định về hỗ trợ phát triển thị trường chưa rõ ràng, chưa cụ thể: Luật </w:t>
      </w:r>
      <w:r w:rsidR="00B269B7">
        <w:t>CNTT</w:t>
      </w:r>
      <w:r w:rsidRPr="00181619">
        <w:t xml:space="preserve"> (Khoản 2 Điều 49) quy định cơ quan nhà nước có thẩm quyền ban hành quy định và tổ chức thực hiện các hoạt động xúc tiến thương mại, quảng bá, tiếp thị hình ảnh công nghiệp công nghệ thông tin… tuy nhiên không kèm theo các quy định về trách nhiệm, nguồn lực cụ thể để triển khai.</w:t>
      </w:r>
    </w:p>
    <w:p w14:paraId="6381D6B4" w14:textId="30046C6B" w:rsidR="00181619" w:rsidRDefault="00181619">
      <w:r>
        <w:t>-</w:t>
      </w:r>
      <w:r w:rsidRPr="00050BE6">
        <w:t xml:space="preserve"> Nhiều sản phẩm, dịch vụ </w:t>
      </w:r>
      <w:r w:rsidR="00535487">
        <w:t>CNTT</w:t>
      </w:r>
      <w:r w:rsidRPr="00050BE6">
        <w:t xml:space="preserve"> sản xuất trong nước có thể thay thế sản phẩm nhập ngoại với giá thành rẻ hơn, bảo đảm an toàn thông tin, tuy nhiên, qua khảo sát, nhiều cơ quan nhà nước vẫn mua các sản phẩm của nước ngoài trong khi Việt Nam đã sản xuất được. Nghị định số 73/2019/NĐ-CP chỉ quy định “phải ưu tiên” đầu tư, mua sắm sản phẩm, dịch vụ </w:t>
      </w:r>
      <w:r w:rsidR="00B269B7">
        <w:t>CNTT</w:t>
      </w:r>
      <w:r w:rsidRPr="00050BE6">
        <w:t xml:space="preserve"> trong nước mà chưa có cơ chế mang tính bắt buộc, do vậy việc thực hiện quy định này tùy thuộc vào chủ quan của các cơ quan, đơn vị. Cách tính chi phí sản xuất trong nước đạt 25% là được ưu đãi trong đấu thầu như quy định hiện tại của Luật Đấu thầu chưa thực sự phù hợp với lĩnh vực </w:t>
      </w:r>
      <w:r w:rsidR="00535487">
        <w:t>CNTT</w:t>
      </w:r>
      <w:r w:rsidRPr="00050BE6">
        <w:t xml:space="preserve">. Nhiều doanh nghiệp cung cấp xuyên biên giới có doanh thu rất lớn tại Việt Nam nhưng chưa chịu sự quản lý chặt chẽ của các quy định hiện hành, trong khi đó, các doanh nghiệp công nghệ trong nước không những bị thu thuế ở mức cao, mà phải chịu sự quản lý nội dung nghiêm ngặt, vì vậy vô hình chung các chính sách quản lý đang áp dụng bị coi là “bảo hộ ngược” cho doanh nghiệp nước ngoài. </w:t>
      </w:r>
    </w:p>
    <w:p w14:paraId="0716A7DD" w14:textId="77777777" w:rsidR="00B613BE" w:rsidRPr="00050BE6" w:rsidRDefault="00B613BE">
      <w:r>
        <w:t xml:space="preserve">- </w:t>
      </w:r>
      <w:r w:rsidRPr="00050BE6">
        <w:t xml:space="preserve">Hệ thống pháp luật Việt Nam và Luật Công nghệ thông tin chưa có quy định liên quan đến các công nghệ số mới của cuộc CMCN 4.0 và các </w:t>
      </w:r>
      <w:r>
        <w:t xml:space="preserve">sản phẩm, dịch vụ mới hình thành </w:t>
      </w:r>
      <w:r w:rsidRPr="00050BE6">
        <w:t xml:space="preserve">dựa trên </w:t>
      </w:r>
      <w:r w:rsidR="00D4623B">
        <w:t>sự phát triển, hội tụ của công nghệ số với các ngành/lĩnh vực</w:t>
      </w:r>
      <w:r w:rsidRPr="00050BE6">
        <w:t xml:space="preserve">. </w:t>
      </w:r>
      <w:r w:rsidR="00D4623B" w:rsidRPr="00B613BE">
        <w:t>Trong bối cảnh hiện nay, đẩy mạnh thực hiện chiến lược Make in Viet Nam, hệ thống pháp luật hiện hành còn thiếu các chính sách để thúc đẩy phát triển. Bên cạnh đó thiếu quy định về khuyến khích đầu tư sản xuất các sản phẩm thân thiện môi trường và an toàn đối với sức khỏe con người; quy định về trách nhiệm xã hội của các nhà sản xuất sản phẩm phần cứng điện tử: thu hồi, xử lý các hàng hóa thải bỏ.</w:t>
      </w:r>
    </w:p>
    <w:p w14:paraId="5BF562D3" w14:textId="77777777" w:rsidR="00E803A5" w:rsidRDefault="00D4623B">
      <w:r>
        <w:t xml:space="preserve">- </w:t>
      </w:r>
      <w:r w:rsidR="00B613BE" w:rsidRPr="00050BE6">
        <w:t>Khung pháp luật hiện hành chưa có quy định về doanh nghiệp công nghệ số</w:t>
      </w:r>
      <w:r w:rsidR="00B613BE">
        <w:t>, doanh nghiệp công nghệ số đầu đàn</w:t>
      </w:r>
      <w:r w:rsidR="00B613BE" w:rsidRPr="00050BE6">
        <w:t xml:space="preserve"> làm căn cứ để ban hành và triển khai các chính sách phát triển doanh nghiệp công nghệ số như chủ trương, định hướng của Đảng và Nhà nước đã đề ra.</w:t>
      </w:r>
      <w:r w:rsidR="00E803A5" w:rsidRPr="00E803A5">
        <w:t xml:space="preserve"> </w:t>
      </w:r>
    </w:p>
    <w:p w14:paraId="0B326F0D" w14:textId="58B42ED5" w:rsidR="00B613BE" w:rsidRPr="00050BE6" w:rsidRDefault="00E803A5">
      <w:r>
        <w:t xml:space="preserve">(2) Trong xu thế phát triển mới, chính sách vĩ mô về phát triển các ngành công nghiệp cũng sẽ có những cách tiếp cận khác so với trước đây. Chính sách công nghiệp ngày nay phải phù hợp với hội nhập toàn cầu, tuân theo quy luật vận động của cơ chế thị trường; tạo động lực để doanh nghiệp đổi mới sáng tạo, </w:t>
      </w:r>
      <w:r>
        <w:lastRenderedPageBreak/>
        <w:t>chuyển đổi số; tập trung phát triển kỹ năng về công nghệ số cho nguồn nhân lực; bảo đảm sự liên kết giữa cơ quan quản lý và doanh nghiệp; xây dựng thương hiệu ngành, thương hiệu quốc gia; tạo các liên kết, chuỗi, cụm công nghiệp… Các điểm mới này chưa được thể hiện trong pháp luật về công nghiệp CNTT, cần được bổ sung, làm rõ trong một Luật chuyên ngành về công nghiệp công nghệ số.</w:t>
      </w:r>
    </w:p>
    <w:p w14:paraId="28DB0E2E" w14:textId="2ADED53B" w:rsidR="00181619" w:rsidRPr="00181619" w:rsidRDefault="00181619" w:rsidP="00750E11">
      <w:pPr>
        <w:pStyle w:val="Heading2"/>
      </w:pPr>
      <w:r>
        <w:t>III.4</w:t>
      </w:r>
      <w:r w:rsidR="00F50125">
        <w:t>.</w:t>
      </w:r>
      <w:r w:rsidRPr="00181619">
        <w:t xml:space="preserve"> </w:t>
      </w:r>
      <w:r w:rsidR="00E803A5">
        <w:t xml:space="preserve">Về </w:t>
      </w:r>
      <w:r w:rsidRPr="00181619">
        <w:t xml:space="preserve">Kết cấu hạ tầng </w:t>
      </w:r>
      <w:r w:rsidR="00E803A5">
        <w:t>cho phát triển CNTT, công nghiệp CNTT</w:t>
      </w:r>
    </w:p>
    <w:p w14:paraId="1E50A6FF" w14:textId="511549A8" w:rsidR="00E803A5" w:rsidRDefault="00E803A5">
      <w:r w:rsidRPr="00181619" w:rsidDel="00E803A5">
        <w:t xml:space="preserve"> </w:t>
      </w:r>
      <w:r>
        <w:t xml:space="preserve">(1) Trong hệ thống pháp luật công nghiệp CNTT hiện nay, kết cấu hạ tầng công nghiệp CNTT cụ thể là Khu CNTT tập trung. Khu CNTT tập trung tại Việt Nam đã và đang khẳng định vai trò quan trọng, trở thành hạ tầng quan trọng cho phát triển công nghiệp </w:t>
      </w:r>
      <w:r w:rsidR="005E73C0">
        <w:t>CNTT</w:t>
      </w:r>
      <w:r>
        <w:t xml:space="preserve">. Luật CNTT đã quy định chung về khuyến khích đầu tư, xây dựng khu CNTT tập trung (Điều 54), tuy nhiên, thực tiễn phát triển thời gian qua cho thấy việc thiếu những quy định liên quan đến mô hình phát triển mới của khu CNTT tập trung như mô hình chuỗi công viên phần mềm hay mô hình </w:t>
      </w:r>
      <w:r w:rsidRPr="00E803A5">
        <w:t>liên kết, hợp tác trên môi trường số, không cùng một ranh giới địa lý</w:t>
      </w:r>
      <w:r>
        <w:t>; thiếu quy trình thực hiện dự án đầu tư khu CNTT tập trung; chính sách về giao đất, thuê đất; tiền sử dụng đất, tiền thuê đất chưa rõ ràng... trong Luật CNTT và văn bản dưới Luật đang làm hạn chế sự phát triển của các khu.</w:t>
      </w:r>
    </w:p>
    <w:p w14:paraId="1723411B" w14:textId="34C01E30" w:rsidR="00E803A5" w:rsidRDefault="00E803A5">
      <w:r>
        <w:t xml:space="preserve">(2) </w:t>
      </w:r>
      <w:r w:rsidRPr="00E803A5">
        <w:t xml:space="preserve">Luật Công nghệ thông tin quy định </w:t>
      </w:r>
      <w:r>
        <w:t xml:space="preserve">khá </w:t>
      </w:r>
      <w:r w:rsidRPr="00E803A5">
        <w:t>chung chung về tài nguyên thông tin, cơ sở dữ liệu quốc gia (Khoản 4 Điều 6), chính sách phát triển cơ sở hạ tầng (Điều 54 đến 59 Luật CNTT)</w:t>
      </w:r>
      <w:r>
        <w:t xml:space="preserve">. Có thể thấy, trong hệ thống pháp luật về công nghiệp CNTT, chưa có đầy đủ các kết cấu hạ tầng để phát triển ngành công nghiệp công nghệ số, cụ thể là thiếu </w:t>
      </w:r>
      <w:r w:rsidR="00B269B7">
        <w:t>0</w:t>
      </w:r>
      <w:r>
        <w:t>2 kết cấu hạ tầng quan trọng là trung tâm dữ liệu và máy tính hiệu năng cao. Trong bối cảnh Việt Nam thực hiện chương trình quốc gia chuyển đổi số (xây dựng chính phủ số, kinh tế số, xã hội số), bước vào giai đoạn số hoá tổ chức, là số hoá theo chiều ngang, là đưa toàn bộ hoạt động của tổ chức lên môi trường số, là thay đổi cách vận hành của tổ chức. Do vậy, sẽ tạo ra nhu cầu lớn về việc lưu trữ thông tin, dữ liệu số và các trung tâm dữ liệu sẽ trở thành một cơ sở hạ tầng quan trọng để thực hiện nhiệm vụ này. Tuy nhiên, Luật CNTT chưa có quy định nhằm pháp lý hoá trung tâm dữ liệu và chính sách thúc đẩy đầu tư xây dựng cũng như quản lý hoạt động của các trung tâm dữ liệu.</w:t>
      </w:r>
    </w:p>
    <w:p w14:paraId="3060F1D3" w14:textId="3E8572B0" w:rsidR="00E803A5" w:rsidRDefault="00E803A5">
      <w:r>
        <w:t xml:space="preserve">Bên cạnh đó, theo kinh nghiệm nhiều quốc gia, khu vực trên thế giới như EU, Trung Quốc, Hoa Kỳ, để phát triển các ngành công nghệ cao như CNTT, công nghệ số, các quốc gia đều đầu tư xây dựng và vận hành các siêu máy tính để giải quyết những bài toán lớn của quốc gia, của khu vực, góp phần tăng năng </w:t>
      </w:r>
      <w:r>
        <w:lastRenderedPageBreak/>
        <w:t>lực công nghệ của đất nước. Trong khi đó, Việt Nam hoàn toàn chưa có những quy định, chính sách để phát triển loại hạ tầng kỹ thuật quan trọng này.</w:t>
      </w:r>
    </w:p>
    <w:p w14:paraId="686AE238" w14:textId="77777777" w:rsidR="00F50125" w:rsidRDefault="00F50125" w:rsidP="00E803A5"/>
    <w:p w14:paraId="1C8E0BB2" w14:textId="1F1B04FB" w:rsidR="00F50125" w:rsidRPr="00750E11" w:rsidRDefault="00F50125">
      <w:pPr>
        <w:pStyle w:val="Heading1"/>
      </w:pPr>
      <w:r w:rsidRPr="00750E11">
        <w:t xml:space="preserve">Phần </w:t>
      </w:r>
      <w:r w:rsidR="00C03486">
        <w:t>I</w:t>
      </w:r>
      <w:r w:rsidRPr="00750E11">
        <w:t>V</w:t>
      </w:r>
    </w:p>
    <w:p w14:paraId="10637120" w14:textId="77777777" w:rsidR="00F50125" w:rsidRDefault="00F50125" w:rsidP="00750E11">
      <w:pPr>
        <w:pStyle w:val="Heading1"/>
      </w:pPr>
      <w:r w:rsidRPr="00750E11">
        <w:t>KẾT LUẬN</w:t>
      </w:r>
    </w:p>
    <w:p w14:paraId="64AE3726" w14:textId="77777777" w:rsidR="00D710E2" w:rsidRDefault="00D710E2" w:rsidP="00C03486"/>
    <w:p w14:paraId="177E7C7E" w14:textId="77777777" w:rsidR="00C03486" w:rsidRPr="00C03486" w:rsidRDefault="00C03486" w:rsidP="00C03486">
      <w:r w:rsidRPr="00C03486">
        <w:t>Bộ Thông tin và Truyền thông thấy rằng cần phải nghiên cứu để sửa đổi, thay thế, hoàn thiện khung pháp lý về phát triển CNTT, công nghiệp CNTT, hướng tới hình thành khung pháp lý về công nghiệp công nghệ số để:</w:t>
      </w:r>
    </w:p>
    <w:p w14:paraId="6A7ABE8B" w14:textId="77777777" w:rsidR="00C03486" w:rsidRPr="00C03486" w:rsidRDefault="00C03486" w:rsidP="00C03486">
      <w:r w:rsidRPr="00C03486">
        <w:t>- Xác định rõ phạm vi và đối tượng quản lý của công nghiệp công nghệ số nhằm tạo những động lực phát triển mới trên cơ sở kế thừa ngành công nghiệp CNTT đã có.</w:t>
      </w:r>
    </w:p>
    <w:p w14:paraId="01ECD35C" w14:textId="77777777" w:rsidR="00C03486" w:rsidRPr="00C03486" w:rsidRDefault="00C03486" w:rsidP="00C03486">
      <w:r w:rsidRPr="00C03486">
        <w:t>- Tạo cơ chế để đưa công nghệ mới, sản phẩm mới nhanh chóng được ứng dụng phục vụ chuyển đổi số, kinh tế số, tận dụng tối đa các lợi ích, giảm thiểu rủi ro công nghệ mới.</w:t>
      </w:r>
    </w:p>
    <w:p w14:paraId="7575235F" w14:textId="77777777" w:rsidR="00C03486" w:rsidRPr="00C03486" w:rsidRDefault="00C03486" w:rsidP="00C03486">
      <w:r w:rsidRPr="00C03486">
        <w:t>- Tăng cường các biện pháp mới, đột phá để bảo đảm cho sự phát triển của ngành công nghiệp công nghệ số.</w:t>
      </w:r>
    </w:p>
    <w:p w14:paraId="29DAE123" w14:textId="77777777" w:rsidR="00C03486" w:rsidRPr="00C03486" w:rsidRDefault="00C03486" w:rsidP="00C03486">
      <w:r w:rsidRPr="00C03486">
        <w:t>- Hình thành hệ thống kết cấu hạ tầng đồng bộ, hiện đại tạo điều kiện thuận lợi nhất cho phát triển ngành công nghiệp công nghệ số Việt Nam.</w:t>
      </w:r>
    </w:p>
    <w:p w14:paraId="75C6CF9E" w14:textId="71C54245" w:rsidR="00EF32F7" w:rsidRPr="00750E11" w:rsidRDefault="007109C6" w:rsidP="00750E11">
      <w:r w:rsidRPr="007109C6">
        <w:t>Bộ Thông tin và Truyền thông trân trọng báo cáo./.</w:t>
      </w:r>
    </w:p>
    <w:tbl>
      <w:tblPr>
        <w:tblW w:w="9765" w:type="dxa"/>
        <w:jc w:val="center"/>
        <w:tblLayout w:type="fixed"/>
        <w:tblLook w:val="04A0" w:firstRow="1" w:lastRow="0" w:firstColumn="1" w:lastColumn="0" w:noHBand="0" w:noVBand="1"/>
      </w:tblPr>
      <w:tblGrid>
        <w:gridCol w:w="5589"/>
        <w:gridCol w:w="4176"/>
      </w:tblGrid>
      <w:tr w:rsidR="00F50125" w:rsidRPr="0095505C" w14:paraId="792E5B02" w14:textId="77777777" w:rsidTr="00F377F0">
        <w:trPr>
          <w:jc w:val="center"/>
        </w:trPr>
        <w:tc>
          <w:tcPr>
            <w:tcW w:w="5589" w:type="dxa"/>
            <w:hideMark/>
          </w:tcPr>
          <w:p w14:paraId="63A3E809" w14:textId="77777777" w:rsidR="00C342E9" w:rsidRDefault="00C342E9" w:rsidP="00750E11">
            <w:pPr>
              <w:tabs>
                <w:tab w:val="left" w:pos="522"/>
              </w:tabs>
              <w:spacing w:before="0" w:after="0" w:line="240" w:lineRule="auto"/>
              <w:ind w:firstLine="97"/>
              <w:rPr>
                <w:b/>
                <w:i/>
              </w:rPr>
            </w:pPr>
          </w:p>
          <w:p w14:paraId="495DB2B9" w14:textId="77777777" w:rsidR="00F50125" w:rsidRPr="0095505C" w:rsidRDefault="00F50125" w:rsidP="0075700E">
            <w:pPr>
              <w:tabs>
                <w:tab w:val="left" w:pos="522"/>
              </w:tabs>
              <w:spacing w:before="0" w:after="0" w:line="240" w:lineRule="auto"/>
              <w:ind w:firstLine="0"/>
              <w:rPr>
                <w:b/>
                <w:i/>
              </w:rPr>
            </w:pPr>
            <w:r w:rsidRPr="0095505C">
              <w:rPr>
                <w:b/>
                <w:i/>
              </w:rPr>
              <w:t>Nơi nhận</w:t>
            </w:r>
            <w:r w:rsidRPr="0095505C">
              <w:rPr>
                <w:b/>
              </w:rPr>
              <w:t>:</w:t>
            </w:r>
          </w:p>
          <w:p w14:paraId="0660745E" w14:textId="77777777" w:rsidR="0075700E" w:rsidRPr="0075700E" w:rsidRDefault="0075700E" w:rsidP="0075700E">
            <w:pPr>
              <w:spacing w:before="0" w:after="0" w:line="240" w:lineRule="auto"/>
              <w:ind w:firstLine="0"/>
              <w:rPr>
                <w:rFonts w:eastAsia="Times New Roman"/>
                <w:sz w:val="22"/>
                <w:szCs w:val="24"/>
                <w:lang w:val="vi-VN"/>
              </w:rPr>
            </w:pPr>
            <w:r w:rsidRPr="0075700E">
              <w:rPr>
                <w:rFonts w:eastAsia="Times New Roman"/>
                <w:sz w:val="22"/>
                <w:szCs w:val="24"/>
                <w:lang w:val="vi-VN"/>
              </w:rPr>
              <w:t>- Như trên;</w:t>
            </w:r>
          </w:p>
          <w:p w14:paraId="3D5CE648" w14:textId="77777777" w:rsidR="0075700E" w:rsidRPr="0075700E" w:rsidRDefault="0075700E" w:rsidP="0075700E">
            <w:pPr>
              <w:spacing w:before="0" w:after="0" w:line="240" w:lineRule="auto"/>
              <w:ind w:firstLine="0"/>
              <w:rPr>
                <w:rFonts w:eastAsia="Times New Roman"/>
                <w:spacing w:val="-8"/>
                <w:sz w:val="22"/>
                <w:szCs w:val="24"/>
                <w:lang w:val="vi-VN"/>
              </w:rPr>
            </w:pPr>
            <w:r w:rsidRPr="0075700E">
              <w:rPr>
                <w:rFonts w:eastAsia="Times New Roman"/>
                <w:spacing w:val="-8"/>
                <w:sz w:val="22"/>
                <w:szCs w:val="24"/>
                <w:lang w:val="vi-VN"/>
              </w:rPr>
              <w:t>- Thủ tướng Chính phủ (để b/c);</w:t>
            </w:r>
          </w:p>
          <w:p w14:paraId="2FFB3179" w14:textId="77777777" w:rsidR="0075700E" w:rsidRPr="0075700E" w:rsidRDefault="0075700E" w:rsidP="0075700E">
            <w:pPr>
              <w:spacing w:before="0" w:after="0" w:line="240" w:lineRule="auto"/>
              <w:ind w:firstLine="0"/>
              <w:rPr>
                <w:rFonts w:eastAsia="Times New Roman"/>
                <w:spacing w:val="-8"/>
                <w:sz w:val="22"/>
                <w:szCs w:val="24"/>
                <w:lang w:val="vi-VN"/>
              </w:rPr>
            </w:pPr>
            <w:r w:rsidRPr="0075700E">
              <w:rPr>
                <w:rFonts w:eastAsia="Times New Roman"/>
                <w:spacing w:val="-8"/>
                <w:sz w:val="22"/>
                <w:szCs w:val="24"/>
                <w:lang w:val="vi-VN"/>
              </w:rPr>
              <w:t>- Các Phó Thủ tướng Chính phủ (để b/c);</w:t>
            </w:r>
          </w:p>
          <w:p w14:paraId="52A5B637" w14:textId="77777777" w:rsidR="0075700E" w:rsidRPr="0075700E" w:rsidRDefault="0075700E" w:rsidP="0075700E">
            <w:pPr>
              <w:spacing w:before="0" w:after="0" w:line="240" w:lineRule="auto"/>
              <w:ind w:firstLine="0"/>
              <w:rPr>
                <w:rFonts w:eastAsia="Times New Roman"/>
                <w:spacing w:val="-8"/>
                <w:sz w:val="22"/>
                <w:szCs w:val="24"/>
                <w:lang w:val="vi-VN"/>
              </w:rPr>
            </w:pPr>
            <w:r w:rsidRPr="0075700E">
              <w:rPr>
                <w:rFonts w:eastAsia="Times New Roman"/>
                <w:spacing w:val="-8"/>
                <w:sz w:val="22"/>
                <w:szCs w:val="24"/>
                <w:lang w:val="vi-VN"/>
              </w:rPr>
              <w:t>- Văn phòng Chính phủ;</w:t>
            </w:r>
          </w:p>
          <w:p w14:paraId="3A4C2BDB" w14:textId="77777777" w:rsidR="0075700E" w:rsidRPr="0075700E" w:rsidRDefault="0075700E" w:rsidP="0075700E">
            <w:pPr>
              <w:spacing w:before="0" w:after="0" w:line="240" w:lineRule="auto"/>
              <w:ind w:firstLine="0"/>
              <w:rPr>
                <w:rFonts w:eastAsia="Times New Roman"/>
                <w:sz w:val="22"/>
                <w:szCs w:val="24"/>
                <w:lang w:val="vi-VN"/>
              </w:rPr>
            </w:pPr>
            <w:r w:rsidRPr="0075700E">
              <w:rPr>
                <w:rFonts w:eastAsia="Times New Roman"/>
                <w:sz w:val="22"/>
                <w:szCs w:val="24"/>
                <w:lang w:val="vi-VN"/>
              </w:rPr>
              <w:t xml:space="preserve">- Các Bộ: Tư pháp, Tài chính, Ngoại giao, Nội vụ; </w:t>
            </w:r>
          </w:p>
          <w:p w14:paraId="78E9AB24" w14:textId="173B3C2A" w:rsidR="00F50125" w:rsidRPr="0095505C" w:rsidRDefault="0075700E" w:rsidP="0075700E">
            <w:pPr>
              <w:tabs>
                <w:tab w:val="left" w:pos="381"/>
              </w:tabs>
              <w:spacing w:before="0" w:after="0" w:line="240" w:lineRule="auto"/>
              <w:ind w:firstLine="0"/>
              <w:jc w:val="left"/>
              <w:rPr>
                <w:sz w:val="26"/>
                <w:szCs w:val="22"/>
              </w:rPr>
            </w:pPr>
            <w:r w:rsidRPr="0075700E">
              <w:rPr>
                <w:rFonts w:eastAsia="Times New Roman"/>
                <w:sz w:val="22"/>
                <w:szCs w:val="24"/>
                <w:lang w:val="vi-VN"/>
              </w:rPr>
              <w:t>- Lưu: VT,</w:t>
            </w:r>
            <w:r w:rsidRPr="0075700E">
              <w:rPr>
                <w:rFonts w:eastAsia="Times New Roman"/>
                <w:sz w:val="22"/>
                <w:szCs w:val="24"/>
              </w:rPr>
              <w:t xml:space="preserve"> CNTT</w:t>
            </w:r>
            <w:r w:rsidRPr="0075700E">
              <w:rPr>
                <w:rFonts w:eastAsia="Times New Roman"/>
                <w:sz w:val="22"/>
                <w:szCs w:val="24"/>
                <w:lang w:val="vi-VN"/>
              </w:rPr>
              <w:t>.</w:t>
            </w:r>
          </w:p>
        </w:tc>
        <w:tc>
          <w:tcPr>
            <w:tcW w:w="4176" w:type="dxa"/>
          </w:tcPr>
          <w:p w14:paraId="37577E83" w14:textId="025D44D5" w:rsidR="00F50125" w:rsidRPr="0095505C" w:rsidRDefault="00F50125" w:rsidP="00750E11">
            <w:pPr>
              <w:spacing w:before="0" w:after="0" w:line="240" w:lineRule="auto"/>
              <w:jc w:val="center"/>
              <w:rPr>
                <w:b/>
                <w:szCs w:val="22"/>
              </w:rPr>
            </w:pPr>
            <w:r w:rsidRPr="0095505C">
              <w:rPr>
                <w:b/>
              </w:rPr>
              <w:t>BỘ TRƯỞNG</w:t>
            </w:r>
          </w:p>
          <w:p w14:paraId="329D39F0" w14:textId="6BCAF87C" w:rsidR="00F50125" w:rsidRPr="0095505C" w:rsidRDefault="00F50125" w:rsidP="00750E11">
            <w:pPr>
              <w:spacing w:before="0" w:after="0" w:line="240" w:lineRule="auto"/>
              <w:jc w:val="center"/>
              <w:rPr>
                <w:b/>
              </w:rPr>
            </w:pPr>
          </w:p>
          <w:p w14:paraId="54C47790" w14:textId="77777777" w:rsidR="00F50125" w:rsidRPr="0095505C" w:rsidRDefault="00F50125" w:rsidP="00750E11">
            <w:pPr>
              <w:spacing w:before="0" w:after="0" w:line="240" w:lineRule="auto"/>
              <w:jc w:val="center"/>
              <w:rPr>
                <w:b/>
              </w:rPr>
            </w:pPr>
          </w:p>
          <w:p w14:paraId="102BC52E" w14:textId="77777777" w:rsidR="00F50125" w:rsidRDefault="00F50125" w:rsidP="00750E11">
            <w:pPr>
              <w:spacing w:before="0" w:after="0" w:line="240" w:lineRule="auto"/>
              <w:jc w:val="center"/>
              <w:rPr>
                <w:b/>
              </w:rPr>
            </w:pPr>
          </w:p>
          <w:p w14:paraId="5A108B9A" w14:textId="77777777" w:rsidR="00BB6E39" w:rsidRPr="0095505C" w:rsidRDefault="00BB6E39" w:rsidP="00750E11">
            <w:pPr>
              <w:spacing w:before="0" w:after="0" w:line="240" w:lineRule="auto"/>
              <w:jc w:val="center"/>
              <w:rPr>
                <w:b/>
              </w:rPr>
            </w:pPr>
          </w:p>
          <w:p w14:paraId="7A381E78" w14:textId="77777777" w:rsidR="00F50125" w:rsidRPr="0095505C" w:rsidRDefault="00F50125" w:rsidP="00750E11">
            <w:pPr>
              <w:spacing w:before="0" w:after="0" w:line="240" w:lineRule="auto"/>
              <w:jc w:val="center"/>
              <w:rPr>
                <w:b/>
              </w:rPr>
            </w:pPr>
          </w:p>
          <w:p w14:paraId="55F5DA9A" w14:textId="77777777" w:rsidR="00F50125" w:rsidRPr="0095505C" w:rsidRDefault="00F50125" w:rsidP="00750E11">
            <w:pPr>
              <w:spacing w:before="0" w:after="0" w:line="240" w:lineRule="auto"/>
              <w:jc w:val="center"/>
              <w:rPr>
                <w:b/>
              </w:rPr>
            </w:pPr>
          </w:p>
          <w:p w14:paraId="53D02D45" w14:textId="77777777" w:rsidR="00F50125" w:rsidRPr="0095505C" w:rsidRDefault="00F50125" w:rsidP="00750E11">
            <w:pPr>
              <w:spacing w:before="0" w:after="0" w:line="240" w:lineRule="auto"/>
              <w:jc w:val="center"/>
              <w:rPr>
                <w:b/>
              </w:rPr>
            </w:pPr>
          </w:p>
          <w:p w14:paraId="74659C69" w14:textId="215A5854" w:rsidR="00F50125" w:rsidRPr="0095505C" w:rsidRDefault="00CB3A3F" w:rsidP="00750E11">
            <w:pPr>
              <w:spacing w:before="0" w:after="0" w:line="240" w:lineRule="auto"/>
              <w:jc w:val="center"/>
              <w:rPr>
                <w:b/>
                <w:sz w:val="26"/>
                <w:szCs w:val="22"/>
              </w:rPr>
            </w:pPr>
            <w:r>
              <w:rPr>
                <w:b/>
              </w:rPr>
              <w:t>Nguyễn Mạnh Hùng</w:t>
            </w:r>
          </w:p>
        </w:tc>
      </w:tr>
    </w:tbl>
    <w:p w14:paraId="0266471A" w14:textId="77777777" w:rsidR="00F50125" w:rsidRPr="0095505C" w:rsidRDefault="00F50125" w:rsidP="00750E11">
      <w:pPr>
        <w:spacing w:before="0" w:after="0" w:line="240" w:lineRule="auto"/>
        <w:ind w:firstLine="709"/>
        <w:rPr>
          <w:bCs/>
          <w:sz w:val="26"/>
          <w:szCs w:val="26"/>
        </w:rPr>
      </w:pPr>
    </w:p>
    <w:p w14:paraId="67755D6D" w14:textId="77777777" w:rsidR="00F50125" w:rsidRDefault="00F50125" w:rsidP="00E803A5"/>
    <w:p w14:paraId="1CCDAE4E" w14:textId="25BC899F" w:rsidR="005F78A6" w:rsidRPr="002D71F8" w:rsidRDefault="005F78A6"/>
    <w:sectPr w:rsidR="005F78A6" w:rsidRPr="002D71F8" w:rsidSect="00750E11">
      <w:headerReference w:type="default" r:id="rId11"/>
      <w:headerReference w:type="first" r:id="rId12"/>
      <w:pgSz w:w="11907" w:h="16840" w:code="9"/>
      <w:pgMar w:top="1134" w:right="1134" w:bottom="1134" w:left="1701" w:header="284" w:footer="284" w:gutter="0"/>
      <w:pgNumType w:start="1"/>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01A66" w14:textId="77777777" w:rsidR="00371FF0" w:rsidRDefault="00371FF0" w:rsidP="00231614">
      <w:pPr>
        <w:spacing w:after="0" w:line="240" w:lineRule="auto"/>
      </w:pPr>
      <w:r>
        <w:separator/>
      </w:r>
    </w:p>
  </w:endnote>
  <w:endnote w:type="continuationSeparator" w:id="0">
    <w:p w14:paraId="5A613272" w14:textId="77777777" w:rsidR="00371FF0" w:rsidRDefault="00371FF0" w:rsidP="0023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4002EFF" w:usb1="C000247B" w:usb2="00000009" w:usb3="00000000" w:csb0="000001FF" w:csb1="00000000"/>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38345" w14:textId="77777777" w:rsidR="00371FF0" w:rsidRDefault="00371FF0" w:rsidP="00231614">
      <w:pPr>
        <w:spacing w:after="0" w:line="240" w:lineRule="auto"/>
      </w:pPr>
      <w:r>
        <w:separator/>
      </w:r>
    </w:p>
  </w:footnote>
  <w:footnote w:type="continuationSeparator" w:id="0">
    <w:p w14:paraId="7D28E957" w14:textId="77777777" w:rsidR="00371FF0" w:rsidRDefault="00371FF0" w:rsidP="00231614">
      <w:pPr>
        <w:spacing w:after="0" w:line="240" w:lineRule="auto"/>
      </w:pPr>
      <w:r>
        <w:continuationSeparator/>
      </w:r>
    </w:p>
  </w:footnote>
  <w:footnote w:id="1">
    <w:p w14:paraId="4C5FDA7C" w14:textId="77777777" w:rsidR="003C1164" w:rsidRDefault="003C1164" w:rsidP="00EF269D">
      <w:pPr>
        <w:pStyle w:val="FootnoteText"/>
        <w:ind w:firstLine="0"/>
      </w:pPr>
      <w:r>
        <w:rPr>
          <w:rStyle w:val="FootnoteReference"/>
          <w:rFonts w:eastAsiaTheme="majorEastAsia"/>
        </w:rPr>
        <w:footnoteRef/>
      </w:r>
      <w:r>
        <w:t xml:space="preserve"> </w:t>
      </w:r>
      <w:hyperlink r:id="rId1" w:history="1">
        <w:r>
          <w:rPr>
            <w:rStyle w:val="Hyperlink"/>
          </w:rPr>
          <w:t>http://www.worldstopexports.com/electronic-circuit-component-exports-country/</w:t>
        </w:r>
      </w:hyperlink>
    </w:p>
    <w:p w14:paraId="144DA623" w14:textId="77777777" w:rsidR="003C1164" w:rsidRDefault="003C1164" w:rsidP="00EF269D">
      <w:pPr>
        <w:pStyle w:val="FootnoteText"/>
        <w:ind w:firstLine="0"/>
      </w:pPr>
      <w:r>
        <w:t xml:space="preserve">   </w:t>
      </w:r>
      <w:hyperlink r:id="rId2" w:history="1">
        <w:r>
          <w:rPr>
            <w:rStyle w:val="Hyperlink"/>
          </w:rPr>
          <w:t>http://www.worldstopexports.com/cellphone-exports-by-country/</w:t>
        </w:r>
      </w:hyperlink>
    </w:p>
  </w:footnote>
  <w:footnote w:id="2">
    <w:p w14:paraId="380728A5" w14:textId="60145F4E" w:rsidR="003C1164" w:rsidRDefault="003C1164" w:rsidP="00EF269D">
      <w:pPr>
        <w:pStyle w:val="FootnoteText"/>
        <w:ind w:firstLine="0"/>
      </w:pPr>
      <w:r>
        <w:rPr>
          <w:rStyle w:val="FootnoteReference"/>
        </w:rPr>
        <w:footnoteRef/>
      </w:r>
      <w:r>
        <w:t xml:space="preserve"> </w:t>
      </w:r>
      <w:r w:rsidRPr="00EF269D">
        <w:t>https://www.kearney.com/digital/article/?/a/the-2021-kearney-global-services-location-index</w:t>
      </w:r>
    </w:p>
  </w:footnote>
  <w:footnote w:id="3">
    <w:p w14:paraId="438F1F9A" w14:textId="42292E5A" w:rsidR="003C1164" w:rsidRDefault="003C1164" w:rsidP="00E82C8D">
      <w:pPr>
        <w:pStyle w:val="FootnoteText"/>
        <w:ind w:firstLine="0"/>
      </w:pPr>
      <w:r>
        <w:rPr>
          <w:rStyle w:val="FootnoteReference"/>
        </w:rPr>
        <w:footnoteRef/>
      </w:r>
      <w:r>
        <w:t xml:space="preserve"> Bổ sung theo góp ý của Bộ KHĐT</w:t>
      </w:r>
    </w:p>
  </w:footnote>
  <w:footnote w:id="4">
    <w:p w14:paraId="6456B4C4" w14:textId="77777777" w:rsidR="00591E36" w:rsidRDefault="00591E36" w:rsidP="00591E36">
      <w:pPr>
        <w:pStyle w:val="FootnoteText"/>
      </w:pPr>
      <w:r>
        <w:rPr>
          <w:rStyle w:val="FootnoteReference"/>
        </w:rPr>
        <w:footnoteRef/>
      </w:r>
      <w:r>
        <w:t xml:space="preserve"> Khoản 2 Điều 47 Luật CNTT: “</w:t>
      </w:r>
      <w:r w:rsidRPr="00E04CE0">
        <w:rPr>
          <w:b/>
        </w:rPr>
        <w:t>Công nghiệp phần mềm</w:t>
      </w:r>
      <w:r>
        <w:t xml:space="preserve"> là </w:t>
      </w:r>
      <w:r w:rsidRPr="00E04CE0">
        <w:rPr>
          <w:b/>
        </w:rPr>
        <w:t>công nghiệp sản xuất</w:t>
      </w:r>
      <w:r>
        <w:t xml:space="preserve"> các sản phẩm phần mềm, bao gồm phần mềm hệ thống, phần mềm ứng dụng, phần mềm điều khiển, tự động hóa và các sản phẩm tương tự khác; </w:t>
      </w:r>
      <w:r w:rsidRPr="00E04CE0">
        <w:rPr>
          <w:b/>
        </w:rPr>
        <w:t>cung cấp các giải pháp cài đặt, bảo trì, hướng dẫn sử dụng</w:t>
      </w:r>
      <w:r>
        <w:t>”</w:t>
      </w:r>
    </w:p>
    <w:p w14:paraId="6D61A894" w14:textId="77777777" w:rsidR="00591E36" w:rsidRDefault="00591E36" w:rsidP="00591E36">
      <w:pPr>
        <w:pStyle w:val="FootnoteText"/>
      </w:pPr>
      <w:r>
        <w:t>Khoản 1 Điều 9 Nghị định 71/2007/NĐ-CP: “Hoạt động công nghiệp phần mềm là hoạt động thiết kế, sản xuất và cung cấp sản phẩm và dịch vụ phần mềm, bao gồm sản xuất phần mềm đóng gói; sản xuất phần mềm theo đơn đặt hàng; sản xuất phần mềm nhúng; hoạt động gia công phần mềm và hoạt động cung cấp, thực hiện các dịch vụ phần mềm”.</w:t>
      </w:r>
    </w:p>
    <w:p w14:paraId="568D2CC0" w14:textId="77777777" w:rsidR="00591E36" w:rsidRDefault="00591E36" w:rsidP="00591E36">
      <w:pPr>
        <w:pStyle w:val="FootnoteText"/>
      </w:pPr>
      <w:r>
        <w:t>Khoản 9 Điều 3 Nghị định 71/2007/NĐ-CP: “</w:t>
      </w:r>
      <w:r w:rsidRPr="00E04CE0">
        <w:rPr>
          <w:b/>
        </w:rPr>
        <w:t xml:space="preserve">Gia công phần mềm </w:t>
      </w:r>
      <w:r>
        <w:t xml:space="preserve">là hoạt động trong đó bên nhận gia công thực hiện việc </w:t>
      </w:r>
      <w:r w:rsidRPr="00E04CE0">
        <w:rPr>
          <w:b/>
        </w:rPr>
        <w:t>sản xuất, cung cấp</w:t>
      </w:r>
      <w:r>
        <w:t xml:space="preserve"> sản phẩm, dịch vụ phần mềm hoặc thực hiện một số công đoạn để hoàn thành sản phẩm, dịch vụ phần mềm theo yêu cầu của bên thuê gia công.</w:t>
      </w:r>
    </w:p>
    <w:p w14:paraId="00FAACAD" w14:textId="77777777" w:rsidR="00591E36" w:rsidRDefault="00591E36" w:rsidP="00591E36">
      <w:pPr>
        <w:pStyle w:val="FootnoteText"/>
      </w:pPr>
      <w:r>
        <w:t>Khoản 10 Điều 3 Nghị định 71/2007/NĐ-CP:</w:t>
      </w:r>
      <w:r w:rsidRPr="00E04CE0">
        <w:rPr>
          <w:b/>
        </w:rPr>
        <w:t>Dịch vụ phần mềm</w:t>
      </w:r>
      <w:r>
        <w:t xml:space="preserve"> là hoạt động trực tiếp hỗ trợ, phục vụ việc sản xuất, </w:t>
      </w:r>
      <w:r w:rsidRPr="00E04CE0">
        <w:rPr>
          <w:b/>
        </w:rPr>
        <w:t>cài đặt</w:t>
      </w:r>
      <w:r>
        <w:t xml:space="preserve">, </w:t>
      </w:r>
      <w:r w:rsidRPr="00E04CE0">
        <w:rPr>
          <w:b/>
        </w:rPr>
        <w:t xml:space="preserve">khai thác, sử dụng, nâng cấp, bảo hành, bảo trì phần mềm </w:t>
      </w:r>
      <w:r>
        <w:t>và các hoạt động tương tự khác liên quan đến phần mềm”.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913223"/>
      <w:docPartObj>
        <w:docPartGallery w:val="Page Numbers (Top of Page)"/>
        <w:docPartUnique/>
      </w:docPartObj>
    </w:sdtPr>
    <w:sdtEndPr>
      <w:rPr>
        <w:noProof/>
      </w:rPr>
    </w:sdtEndPr>
    <w:sdtContent>
      <w:p w14:paraId="7D205B6C" w14:textId="77777777" w:rsidR="003C1164" w:rsidRDefault="003C1164" w:rsidP="00750E11">
        <w:pPr>
          <w:pStyle w:val="Header"/>
          <w:ind w:firstLine="0"/>
          <w:jc w:val="center"/>
        </w:pPr>
        <w:r>
          <w:fldChar w:fldCharType="begin"/>
        </w:r>
        <w:r>
          <w:instrText xml:space="preserve"> PAGE   \* MERGEFORMAT </w:instrText>
        </w:r>
        <w:r>
          <w:fldChar w:fldCharType="separate"/>
        </w:r>
        <w:r w:rsidR="00D710E2">
          <w:rPr>
            <w:noProof/>
          </w:rPr>
          <w:t>18</w:t>
        </w:r>
        <w:r>
          <w:rPr>
            <w:noProof/>
          </w:rPr>
          <w:fldChar w:fldCharType="end"/>
        </w:r>
      </w:p>
    </w:sdtContent>
  </w:sdt>
  <w:p w14:paraId="5D60385E" w14:textId="77777777" w:rsidR="003C1164" w:rsidRDefault="003C11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C8169" w14:textId="0E51E9EC" w:rsidR="003C1164" w:rsidRDefault="003C1164">
    <w:pPr>
      <w:pStyle w:val="Header"/>
      <w:jc w:val="center"/>
    </w:pPr>
  </w:p>
  <w:p w14:paraId="618D6725" w14:textId="77777777" w:rsidR="003C1164" w:rsidRDefault="003C11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9E3"/>
    <w:multiLevelType w:val="multilevel"/>
    <w:tmpl w:val="E562863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2583D"/>
    <w:multiLevelType w:val="multilevel"/>
    <w:tmpl w:val="B0D215B0"/>
    <w:lvl w:ilvl="0">
      <w:start w:val="1"/>
      <w:numFmt w:val="bullet"/>
      <w:lvlText w:val="-"/>
      <w:lvlJc w:val="left"/>
      <w:rPr>
        <w:rFonts w:ascii="Calibri" w:eastAsia="Calibri" w:hAnsi="Calibri" w:cs="Calibri"/>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A0722F"/>
    <w:multiLevelType w:val="hybridMultilevel"/>
    <w:tmpl w:val="5866A78A"/>
    <w:lvl w:ilvl="0" w:tplc="F02A1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406816"/>
    <w:multiLevelType w:val="multilevel"/>
    <w:tmpl w:val="A91E97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00636B"/>
    <w:multiLevelType w:val="multilevel"/>
    <w:tmpl w:val="733EAD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5342C2"/>
    <w:multiLevelType w:val="multilevel"/>
    <w:tmpl w:val="AF222FDE"/>
    <w:lvl w:ilvl="0">
      <w:start w:val="1"/>
      <w:numFmt w:val="upperRoman"/>
      <w:suff w:val="space"/>
      <w:lvlText w:val="%1."/>
      <w:lvlJc w:val="left"/>
      <w:pPr>
        <w:ind w:left="0" w:firstLine="0"/>
      </w:pPr>
      <w:rPr>
        <w:rFonts w:ascii="Times New Roman Bold" w:hAnsi="Times New Roman Bold" w:hint="default"/>
        <w:b/>
        <w:i w:val="0"/>
        <w:sz w:val="28"/>
      </w:rPr>
    </w:lvl>
    <w:lvl w:ilvl="1">
      <w:start w:val="1"/>
      <w:numFmt w:val="decimal"/>
      <w:suff w:val="space"/>
      <w:lvlText w:val="%1.%2"/>
      <w:lvlJc w:val="left"/>
      <w:pPr>
        <w:ind w:left="0" w:firstLine="0"/>
      </w:pPr>
      <w:rPr>
        <w:rFonts w:ascii="Times New Roman Bold" w:hAnsi="Times New Roman Bold" w:hint="default"/>
        <w:b/>
        <w:i w:val="0"/>
        <w:sz w:val="28"/>
      </w:rPr>
    </w:lvl>
    <w:lvl w:ilvl="2">
      <w:start w:val="1"/>
      <w:numFmt w:val="decimal"/>
      <w:suff w:val="space"/>
      <w:lvlText w:val="%1.%2.%3"/>
      <w:lvlJc w:val="left"/>
      <w:pPr>
        <w:ind w:left="0" w:firstLine="0"/>
      </w:pPr>
      <w:rPr>
        <w:rFonts w:ascii="Times New Roman Bold" w:hAnsi="Times New Roman Bold"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350500A"/>
    <w:multiLevelType w:val="multilevel"/>
    <w:tmpl w:val="BEC293A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FA7ED9"/>
    <w:multiLevelType w:val="multilevel"/>
    <w:tmpl w:val="5BE2685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D85A50"/>
    <w:multiLevelType w:val="hybridMultilevel"/>
    <w:tmpl w:val="16F06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558A4"/>
    <w:multiLevelType w:val="multilevel"/>
    <w:tmpl w:val="CE2625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307278"/>
    <w:multiLevelType w:val="multilevel"/>
    <w:tmpl w:val="8B20DC1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6B5A5E"/>
    <w:multiLevelType w:val="multilevel"/>
    <w:tmpl w:val="263C2D4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601820"/>
    <w:multiLevelType w:val="multilevel"/>
    <w:tmpl w:val="535EC8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A06C1F"/>
    <w:multiLevelType w:val="multilevel"/>
    <w:tmpl w:val="56AA131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7D1FBA"/>
    <w:multiLevelType w:val="multilevel"/>
    <w:tmpl w:val="BE4A8E1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D16D56"/>
    <w:multiLevelType w:val="multilevel"/>
    <w:tmpl w:val="AFFCED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716DB7"/>
    <w:multiLevelType w:val="hybridMultilevel"/>
    <w:tmpl w:val="AEE044BC"/>
    <w:lvl w:ilvl="0" w:tplc="30404D56">
      <w:numFmt w:val="bullet"/>
      <w:lvlText w:val="-"/>
      <w:lvlJc w:val="left"/>
      <w:pPr>
        <w:ind w:left="902" w:hanging="360"/>
      </w:pPr>
      <w:rPr>
        <w:rFonts w:ascii="Times New Roman" w:eastAsia="Times New Roman" w:hAnsi="Times New Roman" w:cs="Times New Roman" w:hint="default"/>
        <w:b/>
        <w:bCs/>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7">
    <w:nsid w:val="61A67791"/>
    <w:multiLevelType w:val="multilevel"/>
    <w:tmpl w:val="A99EBB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332096"/>
    <w:multiLevelType w:val="hybridMultilevel"/>
    <w:tmpl w:val="81786AF2"/>
    <w:lvl w:ilvl="0" w:tplc="C9FC836E">
      <w:start w:val="3"/>
      <w:numFmt w:val="bullet"/>
      <w:lvlText w:val="-"/>
      <w:lvlJc w:val="left"/>
      <w:pPr>
        <w:ind w:left="1620" w:hanging="90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9"/>
  </w:num>
  <w:num w:numId="4">
    <w:abstractNumId w:val="12"/>
  </w:num>
  <w:num w:numId="5">
    <w:abstractNumId w:val="7"/>
  </w:num>
  <w:num w:numId="6">
    <w:abstractNumId w:val="11"/>
  </w:num>
  <w:num w:numId="7">
    <w:abstractNumId w:val="10"/>
  </w:num>
  <w:num w:numId="8">
    <w:abstractNumId w:val="17"/>
  </w:num>
  <w:num w:numId="9">
    <w:abstractNumId w:val="3"/>
  </w:num>
  <w:num w:numId="10">
    <w:abstractNumId w:val="6"/>
  </w:num>
  <w:num w:numId="11">
    <w:abstractNumId w:val="15"/>
  </w:num>
  <w:num w:numId="12">
    <w:abstractNumId w:val="14"/>
  </w:num>
  <w:num w:numId="13">
    <w:abstractNumId w:val="13"/>
  </w:num>
  <w:num w:numId="14">
    <w:abstractNumId w:val="1"/>
  </w:num>
  <w:num w:numId="15">
    <w:abstractNumId w:val="4"/>
  </w:num>
  <w:num w:numId="16">
    <w:abstractNumId w:val="2"/>
  </w:num>
  <w:num w:numId="17">
    <w:abstractNumId w:val="8"/>
  </w:num>
  <w:num w:numId="18">
    <w:abstractNumId w:val="1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5A"/>
    <w:rsid w:val="000019E2"/>
    <w:rsid w:val="00003044"/>
    <w:rsid w:val="00003DE3"/>
    <w:rsid w:val="00007970"/>
    <w:rsid w:val="000100FF"/>
    <w:rsid w:val="00022B9A"/>
    <w:rsid w:val="000305A1"/>
    <w:rsid w:val="000415E6"/>
    <w:rsid w:val="000427D2"/>
    <w:rsid w:val="000435F9"/>
    <w:rsid w:val="0004377D"/>
    <w:rsid w:val="00044287"/>
    <w:rsid w:val="00044506"/>
    <w:rsid w:val="00047671"/>
    <w:rsid w:val="00050BE6"/>
    <w:rsid w:val="00052334"/>
    <w:rsid w:val="00052683"/>
    <w:rsid w:val="00054120"/>
    <w:rsid w:val="000542BC"/>
    <w:rsid w:val="00063268"/>
    <w:rsid w:val="00064900"/>
    <w:rsid w:val="000672EC"/>
    <w:rsid w:val="00077F2D"/>
    <w:rsid w:val="000824D4"/>
    <w:rsid w:val="000914CF"/>
    <w:rsid w:val="00097CA0"/>
    <w:rsid w:val="00097CE4"/>
    <w:rsid w:val="000A5595"/>
    <w:rsid w:val="000A6D41"/>
    <w:rsid w:val="000B40B8"/>
    <w:rsid w:val="000B69FF"/>
    <w:rsid w:val="000B6EDD"/>
    <w:rsid w:val="000C1183"/>
    <w:rsid w:val="000C1DC9"/>
    <w:rsid w:val="000D2061"/>
    <w:rsid w:val="000E0AE7"/>
    <w:rsid w:val="000E6036"/>
    <w:rsid w:val="000E7B12"/>
    <w:rsid w:val="000F0F3F"/>
    <w:rsid w:val="000F1325"/>
    <w:rsid w:val="000F54C4"/>
    <w:rsid w:val="0010516D"/>
    <w:rsid w:val="0011596D"/>
    <w:rsid w:val="0011694D"/>
    <w:rsid w:val="00122DE3"/>
    <w:rsid w:val="00131E6D"/>
    <w:rsid w:val="00135859"/>
    <w:rsid w:val="0014295B"/>
    <w:rsid w:val="00147CAA"/>
    <w:rsid w:val="001506C4"/>
    <w:rsid w:val="00150EE7"/>
    <w:rsid w:val="00161FAD"/>
    <w:rsid w:val="00170DB1"/>
    <w:rsid w:val="00181619"/>
    <w:rsid w:val="00185209"/>
    <w:rsid w:val="00185E43"/>
    <w:rsid w:val="001954B9"/>
    <w:rsid w:val="001A3446"/>
    <w:rsid w:val="001B596F"/>
    <w:rsid w:val="001B72DF"/>
    <w:rsid w:val="001D7F7A"/>
    <w:rsid w:val="001E184C"/>
    <w:rsid w:val="001E21D8"/>
    <w:rsid w:val="001E2631"/>
    <w:rsid w:val="001E7572"/>
    <w:rsid w:val="001F27BA"/>
    <w:rsid w:val="001F2FDA"/>
    <w:rsid w:val="001F6494"/>
    <w:rsid w:val="001F6ED2"/>
    <w:rsid w:val="001F7C50"/>
    <w:rsid w:val="0020326A"/>
    <w:rsid w:val="00216545"/>
    <w:rsid w:val="00231614"/>
    <w:rsid w:val="00233F3F"/>
    <w:rsid w:val="0023475F"/>
    <w:rsid w:val="00235C0A"/>
    <w:rsid w:val="00235EA5"/>
    <w:rsid w:val="00241955"/>
    <w:rsid w:val="00266E26"/>
    <w:rsid w:val="0027059C"/>
    <w:rsid w:val="002743F9"/>
    <w:rsid w:val="00274DFE"/>
    <w:rsid w:val="002770A6"/>
    <w:rsid w:val="002775BE"/>
    <w:rsid w:val="00291701"/>
    <w:rsid w:val="002936B1"/>
    <w:rsid w:val="002A36E3"/>
    <w:rsid w:val="002A7950"/>
    <w:rsid w:val="002B033A"/>
    <w:rsid w:val="002B141B"/>
    <w:rsid w:val="002B2616"/>
    <w:rsid w:val="002C2CB4"/>
    <w:rsid w:val="002C6904"/>
    <w:rsid w:val="002D71F8"/>
    <w:rsid w:val="002E1894"/>
    <w:rsid w:val="002E54CC"/>
    <w:rsid w:val="002F01FF"/>
    <w:rsid w:val="002F3D62"/>
    <w:rsid w:val="00305D4A"/>
    <w:rsid w:val="00314DCC"/>
    <w:rsid w:val="00316F22"/>
    <w:rsid w:val="003240A3"/>
    <w:rsid w:val="00324F19"/>
    <w:rsid w:val="00336A5F"/>
    <w:rsid w:val="00346A12"/>
    <w:rsid w:val="00351E08"/>
    <w:rsid w:val="003555FD"/>
    <w:rsid w:val="003616B8"/>
    <w:rsid w:val="00361E4F"/>
    <w:rsid w:val="0036259F"/>
    <w:rsid w:val="0036580B"/>
    <w:rsid w:val="00371FF0"/>
    <w:rsid w:val="00380F38"/>
    <w:rsid w:val="0038352D"/>
    <w:rsid w:val="00385042"/>
    <w:rsid w:val="00385310"/>
    <w:rsid w:val="0038713A"/>
    <w:rsid w:val="00387B42"/>
    <w:rsid w:val="003A7FBD"/>
    <w:rsid w:val="003B533C"/>
    <w:rsid w:val="003C0A8E"/>
    <w:rsid w:val="003C0AD7"/>
    <w:rsid w:val="003C1164"/>
    <w:rsid w:val="003C24BB"/>
    <w:rsid w:val="003C6A69"/>
    <w:rsid w:val="003D08B6"/>
    <w:rsid w:val="003D23F9"/>
    <w:rsid w:val="003E033E"/>
    <w:rsid w:val="003F1845"/>
    <w:rsid w:val="003F767D"/>
    <w:rsid w:val="00403B7B"/>
    <w:rsid w:val="004041A0"/>
    <w:rsid w:val="00404292"/>
    <w:rsid w:val="00413DC5"/>
    <w:rsid w:val="00417290"/>
    <w:rsid w:val="0042301E"/>
    <w:rsid w:val="0042699B"/>
    <w:rsid w:val="004269E3"/>
    <w:rsid w:val="004320CD"/>
    <w:rsid w:val="00441097"/>
    <w:rsid w:val="00441DF9"/>
    <w:rsid w:val="00442165"/>
    <w:rsid w:val="00443D43"/>
    <w:rsid w:val="00446C7D"/>
    <w:rsid w:val="00447D37"/>
    <w:rsid w:val="00451204"/>
    <w:rsid w:val="00465B2B"/>
    <w:rsid w:val="0046613D"/>
    <w:rsid w:val="004666E3"/>
    <w:rsid w:val="00467B85"/>
    <w:rsid w:val="00487F9C"/>
    <w:rsid w:val="0049021C"/>
    <w:rsid w:val="004934FA"/>
    <w:rsid w:val="00497A15"/>
    <w:rsid w:val="00497D45"/>
    <w:rsid w:val="004A7791"/>
    <w:rsid w:val="004C3982"/>
    <w:rsid w:val="004C5B09"/>
    <w:rsid w:val="004D700E"/>
    <w:rsid w:val="004E276A"/>
    <w:rsid w:val="004E343C"/>
    <w:rsid w:val="004E5F87"/>
    <w:rsid w:val="004F06E8"/>
    <w:rsid w:val="004F1056"/>
    <w:rsid w:val="00500395"/>
    <w:rsid w:val="00512C61"/>
    <w:rsid w:val="005233A5"/>
    <w:rsid w:val="00532034"/>
    <w:rsid w:val="0053281B"/>
    <w:rsid w:val="00535487"/>
    <w:rsid w:val="00535B29"/>
    <w:rsid w:val="00536ECC"/>
    <w:rsid w:val="00545246"/>
    <w:rsid w:val="005454B8"/>
    <w:rsid w:val="0054753B"/>
    <w:rsid w:val="00552AAA"/>
    <w:rsid w:val="00556A9E"/>
    <w:rsid w:val="005620AB"/>
    <w:rsid w:val="0056527A"/>
    <w:rsid w:val="005716F2"/>
    <w:rsid w:val="005719FB"/>
    <w:rsid w:val="00574F4E"/>
    <w:rsid w:val="00581629"/>
    <w:rsid w:val="00591E36"/>
    <w:rsid w:val="0059609E"/>
    <w:rsid w:val="00597B8E"/>
    <w:rsid w:val="00597C71"/>
    <w:rsid w:val="005A038C"/>
    <w:rsid w:val="005A0E6D"/>
    <w:rsid w:val="005A1B5E"/>
    <w:rsid w:val="005A5D83"/>
    <w:rsid w:val="005A62BC"/>
    <w:rsid w:val="005A6B48"/>
    <w:rsid w:val="005A6F14"/>
    <w:rsid w:val="005B02B2"/>
    <w:rsid w:val="005B2472"/>
    <w:rsid w:val="005B3D90"/>
    <w:rsid w:val="005B51D7"/>
    <w:rsid w:val="005C0BC9"/>
    <w:rsid w:val="005C55A3"/>
    <w:rsid w:val="005C65BB"/>
    <w:rsid w:val="005D33C1"/>
    <w:rsid w:val="005D483C"/>
    <w:rsid w:val="005D641F"/>
    <w:rsid w:val="005E14DE"/>
    <w:rsid w:val="005E73C0"/>
    <w:rsid w:val="005F78A6"/>
    <w:rsid w:val="005F7D87"/>
    <w:rsid w:val="00601B44"/>
    <w:rsid w:val="00610393"/>
    <w:rsid w:val="00613AE3"/>
    <w:rsid w:val="00643335"/>
    <w:rsid w:val="00645A04"/>
    <w:rsid w:val="00650BB5"/>
    <w:rsid w:val="00651FB0"/>
    <w:rsid w:val="00664747"/>
    <w:rsid w:val="00665525"/>
    <w:rsid w:val="00667759"/>
    <w:rsid w:val="00671F3E"/>
    <w:rsid w:val="0067239C"/>
    <w:rsid w:val="00677046"/>
    <w:rsid w:val="00677953"/>
    <w:rsid w:val="00677E50"/>
    <w:rsid w:val="0068527F"/>
    <w:rsid w:val="006915B1"/>
    <w:rsid w:val="0069763D"/>
    <w:rsid w:val="006A5DC2"/>
    <w:rsid w:val="006A79C8"/>
    <w:rsid w:val="006B30B6"/>
    <w:rsid w:val="006B3656"/>
    <w:rsid w:val="006B3D32"/>
    <w:rsid w:val="006D0043"/>
    <w:rsid w:val="006D0565"/>
    <w:rsid w:val="006D4270"/>
    <w:rsid w:val="006D6DDA"/>
    <w:rsid w:val="006E0D5C"/>
    <w:rsid w:val="006F0415"/>
    <w:rsid w:val="006F55F2"/>
    <w:rsid w:val="006F600A"/>
    <w:rsid w:val="0070228E"/>
    <w:rsid w:val="0070782A"/>
    <w:rsid w:val="007109C6"/>
    <w:rsid w:val="007127E2"/>
    <w:rsid w:val="00717D36"/>
    <w:rsid w:val="00732A1D"/>
    <w:rsid w:val="0073422B"/>
    <w:rsid w:val="007403D1"/>
    <w:rsid w:val="00741ABF"/>
    <w:rsid w:val="00745288"/>
    <w:rsid w:val="00750148"/>
    <w:rsid w:val="00750E11"/>
    <w:rsid w:val="00751691"/>
    <w:rsid w:val="0075248D"/>
    <w:rsid w:val="0075700E"/>
    <w:rsid w:val="00757861"/>
    <w:rsid w:val="007619AC"/>
    <w:rsid w:val="00774E79"/>
    <w:rsid w:val="00775074"/>
    <w:rsid w:val="007763B6"/>
    <w:rsid w:val="007803F1"/>
    <w:rsid w:val="00783CA1"/>
    <w:rsid w:val="007849E9"/>
    <w:rsid w:val="00786A37"/>
    <w:rsid w:val="00793BC7"/>
    <w:rsid w:val="007A1BA4"/>
    <w:rsid w:val="007A6C10"/>
    <w:rsid w:val="007B105F"/>
    <w:rsid w:val="007B2096"/>
    <w:rsid w:val="007B7148"/>
    <w:rsid w:val="007D21D1"/>
    <w:rsid w:val="007D5618"/>
    <w:rsid w:val="007E3E87"/>
    <w:rsid w:val="007E59E7"/>
    <w:rsid w:val="007F19C2"/>
    <w:rsid w:val="007F1BAE"/>
    <w:rsid w:val="007F70E6"/>
    <w:rsid w:val="00814245"/>
    <w:rsid w:val="008300C7"/>
    <w:rsid w:val="008317B9"/>
    <w:rsid w:val="00843A61"/>
    <w:rsid w:val="008443A0"/>
    <w:rsid w:val="00845B08"/>
    <w:rsid w:val="00845C84"/>
    <w:rsid w:val="00853273"/>
    <w:rsid w:val="008543F3"/>
    <w:rsid w:val="008705F4"/>
    <w:rsid w:val="008709F4"/>
    <w:rsid w:val="00871482"/>
    <w:rsid w:val="00871D09"/>
    <w:rsid w:val="008723D4"/>
    <w:rsid w:val="00872D52"/>
    <w:rsid w:val="00875C02"/>
    <w:rsid w:val="00880EDC"/>
    <w:rsid w:val="00884534"/>
    <w:rsid w:val="00894E9B"/>
    <w:rsid w:val="00896E28"/>
    <w:rsid w:val="008A079B"/>
    <w:rsid w:val="008A1A2A"/>
    <w:rsid w:val="008A28A0"/>
    <w:rsid w:val="008A66B7"/>
    <w:rsid w:val="008B442C"/>
    <w:rsid w:val="008C36C3"/>
    <w:rsid w:val="008D2B8F"/>
    <w:rsid w:val="008E0974"/>
    <w:rsid w:val="008E3FC3"/>
    <w:rsid w:val="008E4AD8"/>
    <w:rsid w:val="008E6E48"/>
    <w:rsid w:val="00901366"/>
    <w:rsid w:val="00902EFF"/>
    <w:rsid w:val="009037E9"/>
    <w:rsid w:val="00904852"/>
    <w:rsid w:val="009054CD"/>
    <w:rsid w:val="009105A7"/>
    <w:rsid w:val="00921D5E"/>
    <w:rsid w:val="00945A43"/>
    <w:rsid w:val="00945D6F"/>
    <w:rsid w:val="00973060"/>
    <w:rsid w:val="009743C7"/>
    <w:rsid w:val="009763B8"/>
    <w:rsid w:val="0097681E"/>
    <w:rsid w:val="00985ACD"/>
    <w:rsid w:val="009957D2"/>
    <w:rsid w:val="00996AD5"/>
    <w:rsid w:val="009A5D3A"/>
    <w:rsid w:val="009B052B"/>
    <w:rsid w:val="009B268B"/>
    <w:rsid w:val="009B6D05"/>
    <w:rsid w:val="009D6F27"/>
    <w:rsid w:val="009D6FFA"/>
    <w:rsid w:val="009D7DD1"/>
    <w:rsid w:val="009E1017"/>
    <w:rsid w:val="009F3817"/>
    <w:rsid w:val="009F4FC1"/>
    <w:rsid w:val="009F5516"/>
    <w:rsid w:val="00A01F70"/>
    <w:rsid w:val="00A02382"/>
    <w:rsid w:val="00A02E9E"/>
    <w:rsid w:val="00A1560B"/>
    <w:rsid w:val="00A21581"/>
    <w:rsid w:val="00A2258B"/>
    <w:rsid w:val="00A24E8C"/>
    <w:rsid w:val="00A3496F"/>
    <w:rsid w:val="00A439E7"/>
    <w:rsid w:val="00A54403"/>
    <w:rsid w:val="00A60DB1"/>
    <w:rsid w:val="00A64BFE"/>
    <w:rsid w:val="00A66013"/>
    <w:rsid w:val="00A6705F"/>
    <w:rsid w:val="00A67953"/>
    <w:rsid w:val="00A70DA7"/>
    <w:rsid w:val="00A736FE"/>
    <w:rsid w:val="00A76B76"/>
    <w:rsid w:val="00A77BB6"/>
    <w:rsid w:val="00A8179B"/>
    <w:rsid w:val="00A81807"/>
    <w:rsid w:val="00A93FC2"/>
    <w:rsid w:val="00A95B48"/>
    <w:rsid w:val="00A970C8"/>
    <w:rsid w:val="00AA12C0"/>
    <w:rsid w:val="00AA14A9"/>
    <w:rsid w:val="00AA3C97"/>
    <w:rsid w:val="00AB1354"/>
    <w:rsid w:val="00AB587C"/>
    <w:rsid w:val="00AB58FF"/>
    <w:rsid w:val="00AC1C81"/>
    <w:rsid w:val="00AC255F"/>
    <w:rsid w:val="00AC4FB7"/>
    <w:rsid w:val="00AC538E"/>
    <w:rsid w:val="00AC7389"/>
    <w:rsid w:val="00AD12B5"/>
    <w:rsid w:val="00AD1AD6"/>
    <w:rsid w:val="00AD6B11"/>
    <w:rsid w:val="00AD7A7C"/>
    <w:rsid w:val="00AD7D86"/>
    <w:rsid w:val="00AE2187"/>
    <w:rsid w:val="00AE2673"/>
    <w:rsid w:val="00AF4229"/>
    <w:rsid w:val="00AF4BF2"/>
    <w:rsid w:val="00AF522A"/>
    <w:rsid w:val="00B1066F"/>
    <w:rsid w:val="00B1133C"/>
    <w:rsid w:val="00B11468"/>
    <w:rsid w:val="00B11E3B"/>
    <w:rsid w:val="00B22060"/>
    <w:rsid w:val="00B269B7"/>
    <w:rsid w:val="00B506D5"/>
    <w:rsid w:val="00B57897"/>
    <w:rsid w:val="00B613BE"/>
    <w:rsid w:val="00B62AF7"/>
    <w:rsid w:val="00B66D0E"/>
    <w:rsid w:val="00B67D27"/>
    <w:rsid w:val="00B744FE"/>
    <w:rsid w:val="00B77681"/>
    <w:rsid w:val="00B83E87"/>
    <w:rsid w:val="00B857EF"/>
    <w:rsid w:val="00B86C89"/>
    <w:rsid w:val="00B905B1"/>
    <w:rsid w:val="00BA641D"/>
    <w:rsid w:val="00BB4072"/>
    <w:rsid w:val="00BB6E39"/>
    <w:rsid w:val="00BC3251"/>
    <w:rsid w:val="00BC3321"/>
    <w:rsid w:val="00BD18BF"/>
    <w:rsid w:val="00BD37EE"/>
    <w:rsid w:val="00BE1F7B"/>
    <w:rsid w:val="00BE518A"/>
    <w:rsid w:val="00BF2073"/>
    <w:rsid w:val="00BF3C0E"/>
    <w:rsid w:val="00C03486"/>
    <w:rsid w:val="00C15FAC"/>
    <w:rsid w:val="00C20201"/>
    <w:rsid w:val="00C21A69"/>
    <w:rsid w:val="00C25C60"/>
    <w:rsid w:val="00C272CE"/>
    <w:rsid w:val="00C308DA"/>
    <w:rsid w:val="00C342E9"/>
    <w:rsid w:val="00C348C4"/>
    <w:rsid w:val="00C36882"/>
    <w:rsid w:val="00C404CB"/>
    <w:rsid w:val="00C44067"/>
    <w:rsid w:val="00C51820"/>
    <w:rsid w:val="00C64C99"/>
    <w:rsid w:val="00C65C69"/>
    <w:rsid w:val="00C661A9"/>
    <w:rsid w:val="00C663D1"/>
    <w:rsid w:val="00C67449"/>
    <w:rsid w:val="00C71F91"/>
    <w:rsid w:val="00C7759D"/>
    <w:rsid w:val="00C804A5"/>
    <w:rsid w:val="00C84452"/>
    <w:rsid w:val="00C85A6A"/>
    <w:rsid w:val="00C9630A"/>
    <w:rsid w:val="00C966F8"/>
    <w:rsid w:val="00CA33A2"/>
    <w:rsid w:val="00CA5495"/>
    <w:rsid w:val="00CA6E30"/>
    <w:rsid w:val="00CB02C0"/>
    <w:rsid w:val="00CB153F"/>
    <w:rsid w:val="00CB3A3F"/>
    <w:rsid w:val="00CB5499"/>
    <w:rsid w:val="00CC2BD8"/>
    <w:rsid w:val="00CD5787"/>
    <w:rsid w:val="00CE0024"/>
    <w:rsid w:val="00CE19CC"/>
    <w:rsid w:val="00CE5857"/>
    <w:rsid w:val="00CF4227"/>
    <w:rsid w:val="00D01B93"/>
    <w:rsid w:val="00D16132"/>
    <w:rsid w:val="00D20646"/>
    <w:rsid w:val="00D22FEF"/>
    <w:rsid w:val="00D24DA5"/>
    <w:rsid w:val="00D25500"/>
    <w:rsid w:val="00D3093C"/>
    <w:rsid w:val="00D43BB6"/>
    <w:rsid w:val="00D43C03"/>
    <w:rsid w:val="00D4623B"/>
    <w:rsid w:val="00D47AAA"/>
    <w:rsid w:val="00D54037"/>
    <w:rsid w:val="00D67097"/>
    <w:rsid w:val="00D67EB8"/>
    <w:rsid w:val="00D710E2"/>
    <w:rsid w:val="00D71174"/>
    <w:rsid w:val="00D715C7"/>
    <w:rsid w:val="00D73C04"/>
    <w:rsid w:val="00D82266"/>
    <w:rsid w:val="00D833AE"/>
    <w:rsid w:val="00D92338"/>
    <w:rsid w:val="00D97217"/>
    <w:rsid w:val="00DA1A4B"/>
    <w:rsid w:val="00DA1C72"/>
    <w:rsid w:val="00DA52C2"/>
    <w:rsid w:val="00DA7356"/>
    <w:rsid w:val="00DB0E8A"/>
    <w:rsid w:val="00DB2E2D"/>
    <w:rsid w:val="00DB6246"/>
    <w:rsid w:val="00DC0E92"/>
    <w:rsid w:val="00DC10ED"/>
    <w:rsid w:val="00DC5F8A"/>
    <w:rsid w:val="00DD3FEA"/>
    <w:rsid w:val="00DE4274"/>
    <w:rsid w:val="00DF31BE"/>
    <w:rsid w:val="00DF3B3C"/>
    <w:rsid w:val="00DF4FB5"/>
    <w:rsid w:val="00E01FF6"/>
    <w:rsid w:val="00E03318"/>
    <w:rsid w:val="00E05CB7"/>
    <w:rsid w:val="00E13345"/>
    <w:rsid w:val="00E1736D"/>
    <w:rsid w:val="00E20E03"/>
    <w:rsid w:val="00E327FF"/>
    <w:rsid w:val="00E57C5A"/>
    <w:rsid w:val="00E57EB0"/>
    <w:rsid w:val="00E62FBE"/>
    <w:rsid w:val="00E63FD2"/>
    <w:rsid w:val="00E64932"/>
    <w:rsid w:val="00E65A7B"/>
    <w:rsid w:val="00E663E6"/>
    <w:rsid w:val="00E67F82"/>
    <w:rsid w:val="00E7415B"/>
    <w:rsid w:val="00E803A5"/>
    <w:rsid w:val="00E82C8D"/>
    <w:rsid w:val="00E83AF7"/>
    <w:rsid w:val="00E83D9B"/>
    <w:rsid w:val="00E921E0"/>
    <w:rsid w:val="00E9667E"/>
    <w:rsid w:val="00EA0AC9"/>
    <w:rsid w:val="00EB0AA6"/>
    <w:rsid w:val="00EB184D"/>
    <w:rsid w:val="00EC4F0D"/>
    <w:rsid w:val="00ED343D"/>
    <w:rsid w:val="00ED37C9"/>
    <w:rsid w:val="00EE60CF"/>
    <w:rsid w:val="00EF0759"/>
    <w:rsid w:val="00EF269D"/>
    <w:rsid w:val="00EF32F7"/>
    <w:rsid w:val="00EF44B9"/>
    <w:rsid w:val="00EF4D1D"/>
    <w:rsid w:val="00EF5D4D"/>
    <w:rsid w:val="00F25371"/>
    <w:rsid w:val="00F46432"/>
    <w:rsid w:val="00F50125"/>
    <w:rsid w:val="00F53077"/>
    <w:rsid w:val="00F60138"/>
    <w:rsid w:val="00F60A99"/>
    <w:rsid w:val="00F63E23"/>
    <w:rsid w:val="00F8320A"/>
    <w:rsid w:val="00F909CB"/>
    <w:rsid w:val="00F917D5"/>
    <w:rsid w:val="00F92E9A"/>
    <w:rsid w:val="00F9345D"/>
    <w:rsid w:val="00F9419A"/>
    <w:rsid w:val="00FA4C64"/>
    <w:rsid w:val="00FA6B41"/>
    <w:rsid w:val="00FB385B"/>
    <w:rsid w:val="00FB5131"/>
    <w:rsid w:val="00FB66B5"/>
    <w:rsid w:val="00FB7071"/>
    <w:rsid w:val="00FB7851"/>
    <w:rsid w:val="00FC0EDF"/>
    <w:rsid w:val="00FD0680"/>
    <w:rsid w:val="00FD5ED3"/>
    <w:rsid w:val="00FE741C"/>
    <w:rsid w:val="00FF21F6"/>
    <w:rsid w:val="00FF2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FA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line="264" w:lineRule="auto"/>
        <w:ind w:firstLine="7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8713A"/>
    <w:pPr>
      <w:keepNext/>
      <w:keepLines/>
      <w:ind w:firstLine="0"/>
      <w:jc w:val="center"/>
      <w:outlineLvl w:val="0"/>
    </w:pPr>
    <w:rPr>
      <w:rFonts w:ascii="Times New Roman Bold" w:eastAsiaTheme="majorEastAsia" w:hAnsi="Times New Roman Bold" w:cstheme="majorBidi"/>
      <w:b/>
      <w:caps/>
      <w:sz w:val="26"/>
      <w:szCs w:val="32"/>
    </w:rPr>
  </w:style>
  <w:style w:type="paragraph" w:styleId="Heading2">
    <w:name w:val="heading 2"/>
    <w:basedOn w:val="Normal"/>
    <w:next w:val="Normal"/>
    <w:link w:val="Heading2Char"/>
    <w:uiPriority w:val="9"/>
    <w:unhideWhenUsed/>
    <w:qFormat/>
    <w:rsid w:val="000824D4"/>
    <w:pPr>
      <w:keepNext/>
      <w:keepLines/>
      <w:outlineLvl w:val="1"/>
    </w:pPr>
    <w:rPr>
      <w:rFonts w:ascii="Times New Roman Bold" w:eastAsiaTheme="majorEastAsia" w:hAnsi="Times New Roman Bold" w:cstheme="majorBidi"/>
      <w:b/>
      <w:szCs w:val="26"/>
    </w:rPr>
  </w:style>
  <w:style w:type="paragraph" w:styleId="Heading3">
    <w:name w:val="heading 3"/>
    <w:basedOn w:val="Normal"/>
    <w:next w:val="Normal"/>
    <w:link w:val="Heading3Char"/>
    <w:uiPriority w:val="9"/>
    <w:unhideWhenUsed/>
    <w:qFormat/>
    <w:rsid w:val="00AD6B11"/>
    <w:pPr>
      <w:keepNext/>
      <w:keepLines/>
      <w:outlineLvl w:val="2"/>
    </w:pPr>
    <w:rPr>
      <w:rFonts w:ascii="Times New Roman Bold" w:eastAsiaTheme="majorEastAsia" w:hAnsi="Times New Roman Bold" w:cstheme="majorBidi"/>
      <w:b/>
      <w:sz w:val="26"/>
      <w:szCs w:val="24"/>
    </w:rPr>
  </w:style>
  <w:style w:type="paragraph" w:styleId="Heading4">
    <w:name w:val="heading 4"/>
    <w:basedOn w:val="Normal"/>
    <w:next w:val="Normal"/>
    <w:link w:val="Heading4Char"/>
    <w:uiPriority w:val="9"/>
    <w:unhideWhenUsed/>
    <w:qFormat/>
    <w:rsid w:val="00EF269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C5A"/>
    <w:pPr>
      <w:ind w:left="720"/>
      <w:contextualSpacing/>
    </w:pPr>
  </w:style>
  <w:style w:type="character" w:customStyle="1" w:styleId="Heading1Char">
    <w:name w:val="Heading 1 Char"/>
    <w:basedOn w:val="DefaultParagraphFont"/>
    <w:link w:val="Heading1"/>
    <w:uiPriority w:val="9"/>
    <w:rsid w:val="0038713A"/>
    <w:rPr>
      <w:rFonts w:ascii="Times New Roman Bold" w:eastAsiaTheme="majorEastAsia" w:hAnsi="Times New Roman Bold" w:cstheme="majorBidi"/>
      <w:b/>
      <w:caps/>
      <w:sz w:val="26"/>
      <w:szCs w:val="32"/>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w:basedOn w:val="Normal"/>
    <w:link w:val="FootnoteTextChar"/>
    <w:uiPriority w:val="99"/>
    <w:unhideWhenUsed/>
    <w:qFormat/>
    <w:rsid w:val="00231614"/>
    <w:pPr>
      <w:suppressAutoHyphens/>
      <w:spacing w:line="276" w:lineRule="auto"/>
      <w:ind w:firstLine="567"/>
    </w:pPr>
    <w:rPr>
      <w:rFonts w:eastAsia="Times New Roman"/>
      <w:spacing w:val="-10"/>
      <w:kern w:val="1"/>
      <w:position w:val="-8"/>
      <w:sz w:val="20"/>
      <w:szCs w:val="20"/>
      <w:lang w:val="vi-VN" w:eastAsia="zh-CN"/>
    </w:rPr>
  </w:style>
  <w:style w:type="character" w:customStyle="1" w:styleId="FootnoteTextChar">
    <w:name w:val="Footnote Text Char"/>
    <w:aliases w:val="Footnote Text Char Char Char Char Char Char1,Footnote Text Char Char Char Char Char Char Ch Char1,Footnote Text Char Char Char Char Char Char Ch Char Char Char Char1"/>
    <w:basedOn w:val="DefaultParagraphFont"/>
    <w:link w:val="FootnoteText"/>
    <w:uiPriority w:val="99"/>
    <w:rsid w:val="00231614"/>
    <w:rPr>
      <w:rFonts w:ascii="Times New Roman" w:eastAsia="Times New Roman" w:hAnsi="Times New Roman" w:cs="Times New Roman"/>
      <w:spacing w:val="-10"/>
      <w:kern w:val="1"/>
      <w:position w:val="-8"/>
      <w:sz w:val="20"/>
      <w:szCs w:val="20"/>
      <w:lang w:val="vi-VN" w:eastAsia="zh-CN"/>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
    <w:link w:val="CharChar1CharCharCharChar1CharCharCharCharCharCharCharCharCharCharCharCharCharCharCharChar"/>
    <w:uiPriority w:val="99"/>
    <w:unhideWhenUsed/>
    <w:qFormat/>
    <w:rsid w:val="00231614"/>
    <w:rPr>
      <w:vertAlign w:val="superscript"/>
    </w:rPr>
  </w:style>
  <w:style w:type="character" w:styleId="Hyperlink">
    <w:name w:val="Hyperlink"/>
    <w:uiPriority w:val="99"/>
    <w:unhideWhenUsed/>
    <w:rsid w:val="00231614"/>
    <w:rPr>
      <w:color w:val="0563C1"/>
      <w:u w:val="single"/>
    </w:rPr>
  </w:style>
  <w:style w:type="character" w:customStyle="1" w:styleId="Heading2Char">
    <w:name w:val="Heading 2 Char"/>
    <w:basedOn w:val="DefaultParagraphFont"/>
    <w:link w:val="Heading2"/>
    <w:uiPriority w:val="9"/>
    <w:rsid w:val="000824D4"/>
    <w:rPr>
      <w:rFonts w:ascii="Times New Roman Bold" w:eastAsiaTheme="majorEastAsia" w:hAnsi="Times New Roman Bold" w:cstheme="majorBidi"/>
      <w:b/>
      <w:sz w:val="28"/>
      <w:szCs w:val="26"/>
    </w:rPr>
  </w:style>
  <w:style w:type="character" w:customStyle="1" w:styleId="Heading3Char">
    <w:name w:val="Heading 3 Char"/>
    <w:basedOn w:val="DefaultParagraphFont"/>
    <w:link w:val="Heading3"/>
    <w:uiPriority w:val="9"/>
    <w:rsid w:val="00AD6B11"/>
    <w:rPr>
      <w:rFonts w:ascii="Times New Roman Bold" w:eastAsiaTheme="majorEastAsia" w:hAnsi="Times New Roman Bold" w:cstheme="majorBidi"/>
      <w:b/>
      <w:sz w:val="26"/>
      <w:szCs w:val="24"/>
    </w:rPr>
  </w:style>
  <w:style w:type="paragraph" w:styleId="Header">
    <w:name w:val="header"/>
    <w:basedOn w:val="Normal"/>
    <w:link w:val="HeaderChar"/>
    <w:uiPriority w:val="99"/>
    <w:unhideWhenUsed/>
    <w:rsid w:val="00A22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58B"/>
  </w:style>
  <w:style w:type="paragraph" w:styleId="Footer">
    <w:name w:val="footer"/>
    <w:basedOn w:val="Normal"/>
    <w:link w:val="FooterChar"/>
    <w:uiPriority w:val="99"/>
    <w:unhideWhenUsed/>
    <w:rsid w:val="00A2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58B"/>
  </w:style>
  <w:style w:type="paragraph" w:styleId="NormalWeb">
    <w:name w:val="Normal (Web)"/>
    <w:basedOn w:val="Normal"/>
    <w:uiPriority w:val="99"/>
    <w:unhideWhenUsed/>
    <w:rsid w:val="008E4AD8"/>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050BE6"/>
    <w:pPr>
      <w:spacing w:after="0" w:line="240" w:lineRule="auto"/>
    </w:pPr>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300C7"/>
    <w:pPr>
      <w:spacing w:before="240" w:after="0"/>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8300C7"/>
    <w:pPr>
      <w:spacing w:after="100"/>
    </w:pPr>
  </w:style>
  <w:style w:type="paragraph" w:styleId="TOC2">
    <w:name w:val="toc 2"/>
    <w:basedOn w:val="Normal"/>
    <w:next w:val="Normal"/>
    <w:autoRedefine/>
    <w:uiPriority w:val="39"/>
    <w:unhideWhenUsed/>
    <w:rsid w:val="008300C7"/>
    <w:pPr>
      <w:spacing w:after="100"/>
      <w:ind w:left="220"/>
    </w:pPr>
  </w:style>
  <w:style w:type="paragraph" w:styleId="TOC3">
    <w:name w:val="toc 3"/>
    <w:basedOn w:val="Normal"/>
    <w:next w:val="Normal"/>
    <w:autoRedefine/>
    <w:uiPriority w:val="39"/>
    <w:unhideWhenUsed/>
    <w:rsid w:val="008300C7"/>
    <w:pPr>
      <w:spacing w:after="100"/>
      <w:ind w:left="440"/>
    </w:pPr>
  </w:style>
  <w:style w:type="character" w:customStyle="1" w:styleId="Other">
    <w:name w:val="Other_"/>
    <w:basedOn w:val="DefaultParagraphFont"/>
    <w:link w:val="Other0"/>
    <w:rsid w:val="00D3093C"/>
    <w:rPr>
      <w:rFonts w:ascii="Calibri" w:eastAsia="Calibri" w:hAnsi="Calibri" w:cs="Calibri"/>
      <w:i/>
      <w:iCs/>
      <w:sz w:val="20"/>
      <w:szCs w:val="20"/>
    </w:rPr>
  </w:style>
  <w:style w:type="paragraph" w:customStyle="1" w:styleId="Other0">
    <w:name w:val="Other"/>
    <w:basedOn w:val="Normal"/>
    <w:link w:val="Other"/>
    <w:rsid w:val="00D3093C"/>
    <w:pPr>
      <w:widowControl w:val="0"/>
      <w:spacing w:after="0" w:line="240" w:lineRule="auto"/>
    </w:pPr>
    <w:rPr>
      <w:rFonts w:ascii="Calibri" w:eastAsia="Calibri" w:hAnsi="Calibri" w:cs="Calibri"/>
      <w:i/>
      <w:iCs/>
      <w:sz w:val="20"/>
      <w:szCs w:val="20"/>
    </w:rPr>
  </w:style>
  <w:style w:type="character" w:customStyle="1" w:styleId="BodyTextChar">
    <w:name w:val="Body Text Char"/>
    <w:basedOn w:val="DefaultParagraphFont"/>
    <w:link w:val="BodyText"/>
    <w:rsid w:val="00D3093C"/>
    <w:rPr>
      <w:rFonts w:ascii="Calibri" w:eastAsia="Calibri" w:hAnsi="Calibri" w:cs="Calibri"/>
      <w:sz w:val="20"/>
      <w:szCs w:val="20"/>
    </w:rPr>
  </w:style>
  <w:style w:type="paragraph" w:styleId="BodyText">
    <w:name w:val="Body Text"/>
    <w:basedOn w:val="Normal"/>
    <w:link w:val="BodyTextChar"/>
    <w:qFormat/>
    <w:rsid w:val="00D3093C"/>
    <w:pPr>
      <w:widowControl w:val="0"/>
      <w:spacing w:after="0" w:line="240" w:lineRule="auto"/>
    </w:pPr>
    <w:rPr>
      <w:rFonts w:ascii="Calibri" w:eastAsia="Calibri" w:hAnsi="Calibri" w:cs="Calibri"/>
      <w:sz w:val="20"/>
      <w:szCs w:val="20"/>
    </w:rPr>
  </w:style>
  <w:style w:type="character" w:customStyle="1" w:styleId="BodyTextChar1">
    <w:name w:val="Body Text Char1"/>
    <w:basedOn w:val="DefaultParagraphFont"/>
    <w:uiPriority w:val="99"/>
    <w:semiHidden/>
    <w:rsid w:val="00D3093C"/>
  </w:style>
  <w:style w:type="paragraph" w:customStyle="1" w:styleId="xmsonormal">
    <w:name w:val="x_msonormal"/>
    <w:basedOn w:val="Normal"/>
    <w:rsid w:val="00556A9E"/>
    <w:pPr>
      <w:spacing w:before="100" w:beforeAutospacing="1" w:after="100" w:afterAutospacing="1" w:line="240" w:lineRule="auto"/>
    </w:pPr>
    <w:rPr>
      <w:rFonts w:eastAsia="Times New Roman"/>
      <w:sz w:val="24"/>
      <w:szCs w:val="24"/>
    </w:rPr>
  </w:style>
  <w:style w:type="paragraph" w:customStyle="1" w:styleId="Default">
    <w:name w:val="Default"/>
    <w:rsid w:val="00380F38"/>
    <w:pPr>
      <w:autoSpaceDE w:val="0"/>
      <w:autoSpaceDN w:val="0"/>
      <w:adjustRightInd w:val="0"/>
      <w:spacing w:after="0" w:line="240" w:lineRule="auto"/>
    </w:pPr>
    <w:rPr>
      <w:rFonts w:eastAsia="Times New Roman"/>
      <w:color w:val="000000"/>
      <w:sz w:val="24"/>
      <w:szCs w:val="24"/>
    </w:rPr>
  </w:style>
  <w:style w:type="paragraph" w:styleId="BalloonText">
    <w:name w:val="Balloon Text"/>
    <w:basedOn w:val="Normal"/>
    <w:link w:val="BalloonTextChar"/>
    <w:uiPriority w:val="99"/>
    <w:semiHidden/>
    <w:unhideWhenUsed/>
    <w:rsid w:val="00F9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E9A"/>
    <w:rPr>
      <w:rFonts w:ascii="Segoe UI" w:hAnsi="Segoe UI" w:cs="Segoe UI"/>
      <w:sz w:val="18"/>
      <w:szCs w:val="18"/>
    </w:rPr>
  </w:style>
  <w:style w:type="character" w:customStyle="1" w:styleId="Heading4Char">
    <w:name w:val="Heading 4 Char"/>
    <w:basedOn w:val="DefaultParagraphFont"/>
    <w:link w:val="Heading4"/>
    <w:uiPriority w:val="9"/>
    <w:rsid w:val="00EF269D"/>
    <w:rPr>
      <w:rFonts w:asciiTheme="majorHAnsi" w:eastAsiaTheme="majorEastAsia" w:hAnsiTheme="majorHAnsi" w:cstheme="majorBidi"/>
      <w:b/>
      <w:bCs/>
      <w:i/>
      <w:iCs/>
      <w:color w:val="5B9BD5" w:themeColor="accent1"/>
    </w:rPr>
  </w:style>
  <w:style w:type="character" w:customStyle="1" w:styleId="FootnoteTextChar1">
    <w:name w:val="Footnote Text Char1"/>
    <w:aliases w:val="Footnote Text Char Char Char Char Char Char,Footnote Text Char Char Char Char Char Char Ch Char,Footnote Text Char Char Char Char Char Char Ch Char Char Char Char,single spac Char"/>
    <w:locked/>
    <w:rsid w:val="00591E36"/>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591E36"/>
    <w:pPr>
      <w:spacing w:line="240" w:lineRule="exact"/>
    </w:pPr>
    <w:rPr>
      <w:vertAlign w:val="superscript"/>
    </w:rPr>
  </w:style>
  <w:style w:type="character" w:styleId="Strong">
    <w:name w:val="Strong"/>
    <w:basedOn w:val="DefaultParagraphFont"/>
    <w:uiPriority w:val="22"/>
    <w:qFormat/>
    <w:rsid w:val="0068527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line="264" w:lineRule="auto"/>
        <w:ind w:firstLine="7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8713A"/>
    <w:pPr>
      <w:keepNext/>
      <w:keepLines/>
      <w:ind w:firstLine="0"/>
      <w:jc w:val="center"/>
      <w:outlineLvl w:val="0"/>
    </w:pPr>
    <w:rPr>
      <w:rFonts w:ascii="Times New Roman Bold" w:eastAsiaTheme="majorEastAsia" w:hAnsi="Times New Roman Bold" w:cstheme="majorBidi"/>
      <w:b/>
      <w:caps/>
      <w:sz w:val="26"/>
      <w:szCs w:val="32"/>
    </w:rPr>
  </w:style>
  <w:style w:type="paragraph" w:styleId="Heading2">
    <w:name w:val="heading 2"/>
    <w:basedOn w:val="Normal"/>
    <w:next w:val="Normal"/>
    <w:link w:val="Heading2Char"/>
    <w:uiPriority w:val="9"/>
    <w:unhideWhenUsed/>
    <w:qFormat/>
    <w:rsid w:val="000824D4"/>
    <w:pPr>
      <w:keepNext/>
      <w:keepLines/>
      <w:outlineLvl w:val="1"/>
    </w:pPr>
    <w:rPr>
      <w:rFonts w:ascii="Times New Roman Bold" w:eastAsiaTheme="majorEastAsia" w:hAnsi="Times New Roman Bold" w:cstheme="majorBidi"/>
      <w:b/>
      <w:szCs w:val="26"/>
    </w:rPr>
  </w:style>
  <w:style w:type="paragraph" w:styleId="Heading3">
    <w:name w:val="heading 3"/>
    <w:basedOn w:val="Normal"/>
    <w:next w:val="Normal"/>
    <w:link w:val="Heading3Char"/>
    <w:uiPriority w:val="9"/>
    <w:unhideWhenUsed/>
    <w:qFormat/>
    <w:rsid w:val="00AD6B11"/>
    <w:pPr>
      <w:keepNext/>
      <w:keepLines/>
      <w:outlineLvl w:val="2"/>
    </w:pPr>
    <w:rPr>
      <w:rFonts w:ascii="Times New Roman Bold" w:eastAsiaTheme="majorEastAsia" w:hAnsi="Times New Roman Bold" w:cstheme="majorBidi"/>
      <w:b/>
      <w:sz w:val="26"/>
      <w:szCs w:val="24"/>
    </w:rPr>
  </w:style>
  <w:style w:type="paragraph" w:styleId="Heading4">
    <w:name w:val="heading 4"/>
    <w:basedOn w:val="Normal"/>
    <w:next w:val="Normal"/>
    <w:link w:val="Heading4Char"/>
    <w:uiPriority w:val="9"/>
    <w:unhideWhenUsed/>
    <w:qFormat/>
    <w:rsid w:val="00EF269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C5A"/>
    <w:pPr>
      <w:ind w:left="720"/>
      <w:contextualSpacing/>
    </w:pPr>
  </w:style>
  <w:style w:type="character" w:customStyle="1" w:styleId="Heading1Char">
    <w:name w:val="Heading 1 Char"/>
    <w:basedOn w:val="DefaultParagraphFont"/>
    <w:link w:val="Heading1"/>
    <w:uiPriority w:val="9"/>
    <w:rsid w:val="0038713A"/>
    <w:rPr>
      <w:rFonts w:ascii="Times New Roman Bold" w:eastAsiaTheme="majorEastAsia" w:hAnsi="Times New Roman Bold" w:cstheme="majorBidi"/>
      <w:b/>
      <w:caps/>
      <w:sz w:val="26"/>
      <w:szCs w:val="32"/>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w:basedOn w:val="Normal"/>
    <w:link w:val="FootnoteTextChar"/>
    <w:uiPriority w:val="99"/>
    <w:unhideWhenUsed/>
    <w:qFormat/>
    <w:rsid w:val="00231614"/>
    <w:pPr>
      <w:suppressAutoHyphens/>
      <w:spacing w:line="276" w:lineRule="auto"/>
      <w:ind w:firstLine="567"/>
    </w:pPr>
    <w:rPr>
      <w:rFonts w:eastAsia="Times New Roman"/>
      <w:spacing w:val="-10"/>
      <w:kern w:val="1"/>
      <w:position w:val="-8"/>
      <w:sz w:val="20"/>
      <w:szCs w:val="20"/>
      <w:lang w:val="vi-VN" w:eastAsia="zh-CN"/>
    </w:rPr>
  </w:style>
  <w:style w:type="character" w:customStyle="1" w:styleId="FootnoteTextChar">
    <w:name w:val="Footnote Text Char"/>
    <w:aliases w:val="Footnote Text Char Char Char Char Char Char1,Footnote Text Char Char Char Char Char Char Ch Char1,Footnote Text Char Char Char Char Char Char Ch Char Char Char Char1"/>
    <w:basedOn w:val="DefaultParagraphFont"/>
    <w:link w:val="FootnoteText"/>
    <w:uiPriority w:val="99"/>
    <w:rsid w:val="00231614"/>
    <w:rPr>
      <w:rFonts w:ascii="Times New Roman" w:eastAsia="Times New Roman" w:hAnsi="Times New Roman" w:cs="Times New Roman"/>
      <w:spacing w:val="-10"/>
      <w:kern w:val="1"/>
      <w:position w:val="-8"/>
      <w:sz w:val="20"/>
      <w:szCs w:val="20"/>
      <w:lang w:val="vi-VN" w:eastAsia="zh-CN"/>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
    <w:link w:val="CharChar1CharCharCharChar1CharCharCharCharCharCharCharCharCharCharCharCharCharCharCharChar"/>
    <w:uiPriority w:val="99"/>
    <w:unhideWhenUsed/>
    <w:qFormat/>
    <w:rsid w:val="00231614"/>
    <w:rPr>
      <w:vertAlign w:val="superscript"/>
    </w:rPr>
  </w:style>
  <w:style w:type="character" w:styleId="Hyperlink">
    <w:name w:val="Hyperlink"/>
    <w:uiPriority w:val="99"/>
    <w:unhideWhenUsed/>
    <w:rsid w:val="00231614"/>
    <w:rPr>
      <w:color w:val="0563C1"/>
      <w:u w:val="single"/>
    </w:rPr>
  </w:style>
  <w:style w:type="character" w:customStyle="1" w:styleId="Heading2Char">
    <w:name w:val="Heading 2 Char"/>
    <w:basedOn w:val="DefaultParagraphFont"/>
    <w:link w:val="Heading2"/>
    <w:uiPriority w:val="9"/>
    <w:rsid w:val="000824D4"/>
    <w:rPr>
      <w:rFonts w:ascii="Times New Roman Bold" w:eastAsiaTheme="majorEastAsia" w:hAnsi="Times New Roman Bold" w:cstheme="majorBidi"/>
      <w:b/>
      <w:sz w:val="28"/>
      <w:szCs w:val="26"/>
    </w:rPr>
  </w:style>
  <w:style w:type="character" w:customStyle="1" w:styleId="Heading3Char">
    <w:name w:val="Heading 3 Char"/>
    <w:basedOn w:val="DefaultParagraphFont"/>
    <w:link w:val="Heading3"/>
    <w:uiPriority w:val="9"/>
    <w:rsid w:val="00AD6B11"/>
    <w:rPr>
      <w:rFonts w:ascii="Times New Roman Bold" w:eastAsiaTheme="majorEastAsia" w:hAnsi="Times New Roman Bold" w:cstheme="majorBidi"/>
      <w:b/>
      <w:sz w:val="26"/>
      <w:szCs w:val="24"/>
    </w:rPr>
  </w:style>
  <w:style w:type="paragraph" w:styleId="Header">
    <w:name w:val="header"/>
    <w:basedOn w:val="Normal"/>
    <w:link w:val="HeaderChar"/>
    <w:uiPriority w:val="99"/>
    <w:unhideWhenUsed/>
    <w:rsid w:val="00A22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58B"/>
  </w:style>
  <w:style w:type="paragraph" w:styleId="Footer">
    <w:name w:val="footer"/>
    <w:basedOn w:val="Normal"/>
    <w:link w:val="FooterChar"/>
    <w:uiPriority w:val="99"/>
    <w:unhideWhenUsed/>
    <w:rsid w:val="00A2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58B"/>
  </w:style>
  <w:style w:type="paragraph" w:styleId="NormalWeb">
    <w:name w:val="Normal (Web)"/>
    <w:basedOn w:val="Normal"/>
    <w:uiPriority w:val="99"/>
    <w:unhideWhenUsed/>
    <w:rsid w:val="008E4AD8"/>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050BE6"/>
    <w:pPr>
      <w:spacing w:after="0" w:line="240" w:lineRule="auto"/>
    </w:pPr>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300C7"/>
    <w:pPr>
      <w:spacing w:before="240" w:after="0"/>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8300C7"/>
    <w:pPr>
      <w:spacing w:after="100"/>
    </w:pPr>
  </w:style>
  <w:style w:type="paragraph" w:styleId="TOC2">
    <w:name w:val="toc 2"/>
    <w:basedOn w:val="Normal"/>
    <w:next w:val="Normal"/>
    <w:autoRedefine/>
    <w:uiPriority w:val="39"/>
    <w:unhideWhenUsed/>
    <w:rsid w:val="008300C7"/>
    <w:pPr>
      <w:spacing w:after="100"/>
      <w:ind w:left="220"/>
    </w:pPr>
  </w:style>
  <w:style w:type="paragraph" w:styleId="TOC3">
    <w:name w:val="toc 3"/>
    <w:basedOn w:val="Normal"/>
    <w:next w:val="Normal"/>
    <w:autoRedefine/>
    <w:uiPriority w:val="39"/>
    <w:unhideWhenUsed/>
    <w:rsid w:val="008300C7"/>
    <w:pPr>
      <w:spacing w:after="100"/>
      <w:ind w:left="440"/>
    </w:pPr>
  </w:style>
  <w:style w:type="character" w:customStyle="1" w:styleId="Other">
    <w:name w:val="Other_"/>
    <w:basedOn w:val="DefaultParagraphFont"/>
    <w:link w:val="Other0"/>
    <w:rsid w:val="00D3093C"/>
    <w:rPr>
      <w:rFonts w:ascii="Calibri" w:eastAsia="Calibri" w:hAnsi="Calibri" w:cs="Calibri"/>
      <w:i/>
      <w:iCs/>
      <w:sz w:val="20"/>
      <w:szCs w:val="20"/>
    </w:rPr>
  </w:style>
  <w:style w:type="paragraph" w:customStyle="1" w:styleId="Other0">
    <w:name w:val="Other"/>
    <w:basedOn w:val="Normal"/>
    <w:link w:val="Other"/>
    <w:rsid w:val="00D3093C"/>
    <w:pPr>
      <w:widowControl w:val="0"/>
      <w:spacing w:after="0" w:line="240" w:lineRule="auto"/>
    </w:pPr>
    <w:rPr>
      <w:rFonts w:ascii="Calibri" w:eastAsia="Calibri" w:hAnsi="Calibri" w:cs="Calibri"/>
      <w:i/>
      <w:iCs/>
      <w:sz w:val="20"/>
      <w:szCs w:val="20"/>
    </w:rPr>
  </w:style>
  <w:style w:type="character" w:customStyle="1" w:styleId="BodyTextChar">
    <w:name w:val="Body Text Char"/>
    <w:basedOn w:val="DefaultParagraphFont"/>
    <w:link w:val="BodyText"/>
    <w:rsid w:val="00D3093C"/>
    <w:rPr>
      <w:rFonts w:ascii="Calibri" w:eastAsia="Calibri" w:hAnsi="Calibri" w:cs="Calibri"/>
      <w:sz w:val="20"/>
      <w:szCs w:val="20"/>
    </w:rPr>
  </w:style>
  <w:style w:type="paragraph" w:styleId="BodyText">
    <w:name w:val="Body Text"/>
    <w:basedOn w:val="Normal"/>
    <w:link w:val="BodyTextChar"/>
    <w:qFormat/>
    <w:rsid w:val="00D3093C"/>
    <w:pPr>
      <w:widowControl w:val="0"/>
      <w:spacing w:after="0" w:line="240" w:lineRule="auto"/>
    </w:pPr>
    <w:rPr>
      <w:rFonts w:ascii="Calibri" w:eastAsia="Calibri" w:hAnsi="Calibri" w:cs="Calibri"/>
      <w:sz w:val="20"/>
      <w:szCs w:val="20"/>
    </w:rPr>
  </w:style>
  <w:style w:type="character" w:customStyle="1" w:styleId="BodyTextChar1">
    <w:name w:val="Body Text Char1"/>
    <w:basedOn w:val="DefaultParagraphFont"/>
    <w:uiPriority w:val="99"/>
    <w:semiHidden/>
    <w:rsid w:val="00D3093C"/>
  </w:style>
  <w:style w:type="paragraph" w:customStyle="1" w:styleId="xmsonormal">
    <w:name w:val="x_msonormal"/>
    <w:basedOn w:val="Normal"/>
    <w:rsid w:val="00556A9E"/>
    <w:pPr>
      <w:spacing w:before="100" w:beforeAutospacing="1" w:after="100" w:afterAutospacing="1" w:line="240" w:lineRule="auto"/>
    </w:pPr>
    <w:rPr>
      <w:rFonts w:eastAsia="Times New Roman"/>
      <w:sz w:val="24"/>
      <w:szCs w:val="24"/>
    </w:rPr>
  </w:style>
  <w:style w:type="paragraph" w:customStyle="1" w:styleId="Default">
    <w:name w:val="Default"/>
    <w:rsid w:val="00380F38"/>
    <w:pPr>
      <w:autoSpaceDE w:val="0"/>
      <w:autoSpaceDN w:val="0"/>
      <w:adjustRightInd w:val="0"/>
      <w:spacing w:after="0" w:line="240" w:lineRule="auto"/>
    </w:pPr>
    <w:rPr>
      <w:rFonts w:eastAsia="Times New Roman"/>
      <w:color w:val="000000"/>
      <w:sz w:val="24"/>
      <w:szCs w:val="24"/>
    </w:rPr>
  </w:style>
  <w:style w:type="paragraph" w:styleId="BalloonText">
    <w:name w:val="Balloon Text"/>
    <w:basedOn w:val="Normal"/>
    <w:link w:val="BalloonTextChar"/>
    <w:uiPriority w:val="99"/>
    <w:semiHidden/>
    <w:unhideWhenUsed/>
    <w:rsid w:val="00F9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E9A"/>
    <w:rPr>
      <w:rFonts w:ascii="Segoe UI" w:hAnsi="Segoe UI" w:cs="Segoe UI"/>
      <w:sz w:val="18"/>
      <w:szCs w:val="18"/>
    </w:rPr>
  </w:style>
  <w:style w:type="character" w:customStyle="1" w:styleId="Heading4Char">
    <w:name w:val="Heading 4 Char"/>
    <w:basedOn w:val="DefaultParagraphFont"/>
    <w:link w:val="Heading4"/>
    <w:uiPriority w:val="9"/>
    <w:rsid w:val="00EF269D"/>
    <w:rPr>
      <w:rFonts w:asciiTheme="majorHAnsi" w:eastAsiaTheme="majorEastAsia" w:hAnsiTheme="majorHAnsi" w:cstheme="majorBidi"/>
      <w:b/>
      <w:bCs/>
      <w:i/>
      <w:iCs/>
      <w:color w:val="5B9BD5" w:themeColor="accent1"/>
    </w:rPr>
  </w:style>
  <w:style w:type="character" w:customStyle="1" w:styleId="FootnoteTextChar1">
    <w:name w:val="Footnote Text Char1"/>
    <w:aliases w:val="Footnote Text Char Char Char Char Char Char,Footnote Text Char Char Char Char Char Char Ch Char,Footnote Text Char Char Char Char Char Char Ch Char Char Char Char,single spac Char"/>
    <w:locked/>
    <w:rsid w:val="00591E36"/>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591E36"/>
    <w:pPr>
      <w:spacing w:line="240" w:lineRule="exact"/>
    </w:pPr>
    <w:rPr>
      <w:vertAlign w:val="superscript"/>
    </w:rPr>
  </w:style>
  <w:style w:type="character" w:styleId="Strong">
    <w:name w:val="Strong"/>
    <w:basedOn w:val="DefaultParagraphFont"/>
    <w:uiPriority w:val="22"/>
    <w:qFormat/>
    <w:rsid w:val="00685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5847">
      <w:bodyDiv w:val="1"/>
      <w:marLeft w:val="0"/>
      <w:marRight w:val="0"/>
      <w:marTop w:val="0"/>
      <w:marBottom w:val="0"/>
      <w:divBdr>
        <w:top w:val="none" w:sz="0" w:space="0" w:color="auto"/>
        <w:left w:val="none" w:sz="0" w:space="0" w:color="auto"/>
        <w:bottom w:val="none" w:sz="0" w:space="0" w:color="auto"/>
        <w:right w:val="none" w:sz="0" w:space="0" w:color="auto"/>
      </w:divBdr>
    </w:div>
    <w:div w:id="538014761">
      <w:bodyDiv w:val="1"/>
      <w:marLeft w:val="0"/>
      <w:marRight w:val="0"/>
      <w:marTop w:val="0"/>
      <w:marBottom w:val="0"/>
      <w:divBdr>
        <w:top w:val="none" w:sz="0" w:space="0" w:color="auto"/>
        <w:left w:val="none" w:sz="0" w:space="0" w:color="auto"/>
        <w:bottom w:val="none" w:sz="0" w:space="0" w:color="auto"/>
        <w:right w:val="none" w:sz="0" w:space="0" w:color="auto"/>
      </w:divBdr>
    </w:div>
    <w:div w:id="958535612">
      <w:bodyDiv w:val="1"/>
      <w:marLeft w:val="0"/>
      <w:marRight w:val="0"/>
      <w:marTop w:val="0"/>
      <w:marBottom w:val="0"/>
      <w:divBdr>
        <w:top w:val="none" w:sz="0" w:space="0" w:color="auto"/>
        <w:left w:val="none" w:sz="0" w:space="0" w:color="auto"/>
        <w:bottom w:val="none" w:sz="0" w:space="0" w:color="auto"/>
        <w:right w:val="none" w:sz="0" w:space="0" w:color="auto"/>
      </w:divBdr>
    </w:div>
    <w:div w:id="975263027">
      <w:bodyDiv w:val="1"/>
      <w:marLeft w:val="0"/>
      <w:marRight w:val="0"/>
      <w:marTop w:val="0"/>
      <w:marBottom w:val="0"/>
      <w:divBdr>
        <w:top w:val="none" w:sz="0" w:space="0" w:color="auto"/>
        <w:left w:val="none" w:sz="0" w:space="0" w:color="auto"/>
        <w:bottom w:val="none" w:sz="0" w:space="0" w:color="auto"/>
        <w:right w:val="none" w:sz="0" w:space="0" w:color="auto"/>
      </w:divBdr>
    </w:div>
    <w:div w:id="1095977288">
      <w:bodyDiv w:val="1"/>
      <w:marLeft w:val="0"/>
      <w:marRight w:val="0"/>
      <w:marTop w:val="0"/>
      <w:marBottom w:val="0"/>
      <w:divBdr>
        <w:top w:val="none" w:sz="0" w:space="0" w:color="auto"/>
        <w:left w:val="none" w:sz="0" w:space="0" w:color="auto"/>
        <w:bottom w:val="none" w:sz="0" w:space="0" w:color="auto"/>
        <w:right w:val="none" w:sz="0" w:space="0" w:color="auto"/>
      </w:divBdr>
    </w:div>
    <w:div w:id="1188451641">
      <w:bodyDiv w:val="1"/>
      <w:marLeft w:val="0"/>
      <w:marRight w:val="0"/>
      <w:marTop w:val="0"/>
      <w:marBottom w:val="0"/>
      <w:divBdr>
        <w:top w:val="none" w:sz="0" w:space="0" w:color="auto"/>
        <w:left w:val="none" w:sz="0" w:space="0" w:color="auto"/>
        <w:bottom w:val="none" w:sz="0" w:space="0" w:color="auto"/>
        <w:right w:val="none" w:sz="0" w:space="0" w:color="auto"/>
      </w:divBdr>
    </w:div>
    <w:div w:id="1285428384">
      <w:bodyDiv w:val="1"/>
      <w:marLeft w:val="0"/>
      <w:marRight w:val="0"/>
      <w:marTop w:val="0"/>
      <w:marBottom w:val="0"/>
      <w:divBdr>
        <w:top w:val="none" w:sz="0" w:space="0" w:color="auto"/>
        <w:left w:val="none" w:sz="0" w:space="0" w:color="auto"/>
        <w:bottom w:val="none" w:sz="0" w:space="0" w:color="auto"/>
        <w:right w:val="none" w:sz="0" w:space="0" w:color="auto"/>
      </w:divBdr>
    </w:div>
    <w:div w:id="1656104266">
      <w:bodyDiv w:val="1"/>
      <w:marLeft w:val="0"/>
      <w:marRight w:val="0"/>
      <w:marTop w:val="0"/>
      <w:marBottom w:val="0"/>
      <w:divBdr>
        <w:top w:val="none" w:sz="0" w:space="0" w:color="auto"/>
        <w:left w:val="none" w:sz="0" w:space="0" w:color="auto"/>
        <w:bottom w:val="none" w:sz="0" w:space="0" w:color="auto"/>
        <w:right w:val="none" w:sz="0" w:space="0" w:color="auto"/>
      </w:divBdr>
    </w:div>
    <w:div w:id="1762405943">
      <w:bodyDiv w:val="1"/>
      <w:marLeft w:val="0"/>
      <w:marRight w:val="0"/>
      <w:marTop w:val="0"/>
      <w:marBottom w:val="0"/>
      <w:divBdr>
        <w:top w:val="none" w:sz="0" w:space="0" w:color="auto"/>
        <w:left w:val="none" w:sz="0" w:space="0" w:color="auto"/>
        <w:bottom w:val="none" w:sz="0" w:space="0" w:color="auto"/>
        <w:right w:val="none" w:sz="0" w:space="0" w:color="auto"/>
      </w:divBdr>
      <w:divsChild>
        <w:div w:id="752048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worldstopexports.com/electronic-circuit-component-exports-country/" TargetMode="External"/><Relationship Id="rId2" Type="http://schemas.openxmlformats.org/officeDocument/2006/relationships/hyperlink" Target="http://www.worldstopexports.com/cellphone-exports-by-country/"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D:\Google%20Drive\MIC\2021\So%20lieu%20nganh\01%20Kich%20ban%20tang%20truong\Kich%20ban%20tang%20truong%20202105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'Bieu do'!$A$6</c:f>
              <c:strCache>
                <c:ptCount val="1"/>
                <c:pt idx="0">
                  <c:v>Tổng doanh thu CNTT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'Bieu do'!$B$1:$G$1</c:f>
              <c:strCache>
                <c:ptCount val="6"/>
                <c:pt idx="0">
                  <c:v>2015</c:v>
                </c:pt>
                <c:pt idx="1">
                  <c:v>2016</c:v>
                </c:pt>
                <c:pt idx="2">
                  <c:v>2017</c:v>
                </c:pt>
                <c:pt idx="3">
                  <c:v>2018</c:v>
                </c:pt>
                <c:pt idx="4">
                  <c:v>2019</c:v>
                </c:pt>
                <c:pt idx="5">
                  <c:v>2020 
(Ước tính)</c:v>
                </c:pt>
              </c:strCache>
            </c:strRef>
          </c:cat>
          <c:val>
            <c:numRef>
              <c:f>'Bieu do'!$B$6:$G$6</c:f>
              <c:numCache>
                <c:formatCode>_(* #,##0_);_(* \(#,##0\);_(* "-"??_);_(@_)</c:formatCode>
                <c:ptCount val="6"/>
                <c:pt idx="0">
                  <c:v>60716.0</c:v>
                </c:pt>
                <c:pt idx="1">
                  <c:v>67693.0</c:v>
                </c:pt>
                <c:pt idx="2">
                  <c:v>91592.0</c:v>
                </c:pt>
                <c:pt idx="3">
                  <c:v>102973.0</c:v>
                </c:pt>
                <c:pt idx="4">
                  <c:v>112566.0</c:v>
                </c:pt>
                <c:pt idx="5">
                  <c:v>123538.2856035796</c:v>
                </c:pt>
              </c:numCache>
            </c:numRef>
          </c:val>
          <c:extLst xmlns:c16r2="http://schemas.microsoft.com/office/drawing/2015/06/chart">
            <c:ext xmlns:c16="http://schemas.microsoft.com/office/drawing/2014/chart" uri="{C3380CC4-5D6E-409C-BE32-E72D297353CC}">
              <c16:uniqueId val="{00000000-6BDF-42A7-879A-751904453F30}"/>
            </c:ext>
          </c:extLst>
        </c:ser>
        <c:dLbls>
          <c:showLegendKey val="0"/>
          <c:showVal val="1"/>
          <c:showCatName val="0"/>
          <c:showSerName val="0"/>
          <c:showPercent val="0"/>
          <c:showBubbleSize val="0"/>
        </c:dLbls>
        <c:gapWidth val="150"/>
        <c:axId val="2070114184"/>
        <c:axId val="2064714904"/>
      </c:barChart>
      <c:lineChart>
        <c:grouping val="standard"/>
        <c:varyColors val="0"/>
        <c:ser>
          <c:idx val="1"/>
          <c:order val="1"/>
          <c:tx>
            <c:strRef>
              <c:f>'Bieu do'!$A$7</c:f>
              <c:strCache>
                <c:ptCount val="1"/>
                <c:pt idx="0">
                  <c:v>Tăng trưởng</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'Bieu do'!$B$1:$G$1</c:f>
              <c:strCache>
                <c:ptCount val="6"/>
                <c:pt idx="0">
                  <c:v>2015</c:v>
                </c:pt>
                <c:pt idx="1">
                  <c:v>2016</c:v>
                </c:pt>
                <c:pt idx="2">
                  <c:v>2017</c:v>
                </c:pt>
                <c:pt idx="3">
                  <c:v>2018</c:v>
                </c:pt>
                <c:pt idx="4">
                  <c:v>2019</c:v>
                </c:pt>
                <c:pt idx="5">
                  <c:v>2020 
(Ước tính)</c:v>
                </c:pt>
              </c:strCache>
            </c:strRef>
          </c:cat>
          <c:val>
            <c:numRef>
              <c:f>'Bieu do'!$B$7:$G$7</c:f>
              <c:numCache>
                <c:formatCode>0.00%</c:formatCode>
                <c:ptCount val="6"/>
                <c:pt idx="0">
                  <c:v>0.395770114942529</c:v>
                </c:pt>
                <c:pt idx="1">
                  <c:v>0.114912049542131</c:v>
                </c:pt>
                <c:pt idx="2">
                  <c:v>0.353049798354335</c:v>
                </c:pt>
                <c:pt idx="3">
                  <c:v>0.124257577080968</c:v>
                </c:pt>
                <c:pt idx="4">
                  <c:v>0.0931603430025347</c:v>
                </c:pt>
                <c:pt idx="5">
                  <c:v>0.0975</c:v>
                </c:pt>
              </c:numCache>
            </c:numRef>
          </c:val>
          <c:smooth val="0"/>
          <c:extLst xmlns:c16r2="http://schemas.microsoft.com/office/drawing/2015/06/chart">
            <c:ext xmlns:c16="http://schemas.microsoft.com/office/drawing/2014/chart" uri="{C3380CC4-5D6E-409C-BE32-E72D297353CC}">
              <c16:uniqueId val="{00000001-6BDF-42A7-879A-751904453F30}"/>
            </c:ext>
          </c:extLst>
        </c:ser>
        <c:dLbls>
          <c:showLegendKey val="0"/>
          <c:showVal val="1"/>
          <c:showCatName val="0"/>
          <c:showSerName val="0"/>
          <c:showPercent val="0"/>
          <c:showBubbleSize val="0"/>
        </c:dLbls>
        <c:marker val="1"/>
        <c:smooth val="0"/>
        <c:axId val="2045668744"/>
        <c:axId val="2064486568"/>
      </c:lineChart>
      <c:valAx>
        <c:axId val="2064714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vi-VN"/>
                  <a:t>Triệu USD</a:t>
                </a:r>
                <a:endParaRPr lang="en-US"/>
              </a:p>
            </c:rich>
          </c:tx>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0114184"/>
        <c:crosses val="autoZero"/>
        <c:crossBetween val="between"/>
      </c:valAx>
      <c:catAx>
        <c:axId val="2070114184"/>
        <c:scaling>
          <c:orientation val="minMax"/>
        </c:scaling>
        <c:delete val="0"/>
        <c:axPos val="b"/>
        <c:title>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4714904"/>
        <c:crosses val="autoZero"/>
        <c:auto val="1"/>
        <c:lblAlgn val="ctr"/>
        <c:lblOffset val="100"/>
        <c:noMultiLvlLbl val="0"/>
      </c:catAx>
      <c:valAx>
        <c:axId val="206448656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vi-VN"/>
                  <a:t> tăng trưởng</a:t>
                </a:r>
                <a:endParaRPr lang="en-US"/>
              </a:p>
            </c:rich>
          </c:tx>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5668744"/>
        <c:crosses val="max"/>
        <c:crossBetween val="between"/>
      </c:valAx>
      <c:catAx>
        <c:axId val="2045668744"/>
        <c:scaling>
          <c:orientation val="minMax"/>
        </c:scaling>
        <c:delete val="1"/>
        <c:axPos val="b"/>
        <c:numFmt formatCode="General" sourceLinked="1"/>
        <c:majorTickMark val="none"/>
        <c:minorTickMark val="none"/>
        <c:tickLblPos val="nextTo"/>
        <c:crossAx val="206448656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666D1-738D-4C4C-8953-137C2686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5859</Words>
  <Characters>33400</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Duc Toan</dc:creator>
  <cp:keywords/>
  <dc:description/>
  <cp:lastModifiedBy>Toan Nguyen Duc</cp:lastModifiedBy>
  <cp:revision>9</cp:revision>
  <cp:lastPrinted>2021-06-22T03:08:00Z</cp:lastPrinted>
  <dcterms:created xsi:type="dcterms:W3CDTF">2021-08-22T10:45:00Z</dcterms:created>
  <dcterms:modified xsi:type="dcterms:W3CDTF">2021-08-23T07:24:00Z</dcterms:modified>
</cp:coreProperties>
</file>